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38.2019.34 vom 27. Januar 2020</w:t>
      </w:r>
    </w:p>
    <w:p>
      <w:r>
        <w:t>TI Tribunale d'appello, 2020-01-27, IT</w:t>
      </w:r>
    </w:p>
    <w:p>
      <w:r>
        <w:rPr>
          <w:b/>
        </w:rPr>
        <w:t xml:space="preserve">Quelle: </w:t>
      </w:r>
      <w:r>
        <w:t>https://mcp.opencaselaw.ch/entscheid/ti_gerichte_38.2019.34</w:t>
      </w:r>
    </w:p>
    <w:p>
      <w:r>
        <w:t>FR: TI_GERICHTE 38.2019.34 du 27 janvier 2020</w:t>
      </w:r>
    </w:p>
    <w:p>
      <w:r>
        <w:t>IT: TI_GERICHTE 38.2019.34 del 27 gennaio 2020</w:t>
      </w:r>
    </w:p>
    <w:p>
      <w:pPr>
        <w:pStyle w:val="Heading2"/>
      </w:pPr>
      <w:r>
        <w:t>Erwägungen</w:t>
      </w:r>
    </w:p>
    <w:p>
      <w:r>
        <w:rPr>
          <w:b/>
        </w:rPr>
        <w:t>E. 22</w:t>
      </w:r>
    </w:p>
    <w:p>
      <w:r>
        <w:t>dicembre 2000; STFA I 623/98 del 26 ottobre 1999. Vedi pure: STF 9C_807/2014 del 9 settembre 2015; STF 9C_585/2014 dell8 settembre 2015).</w:t>
      </w:r>
    </w:p>
    <w:p>
      <w:r>
        <w:t>L'art. 95 LADI regola la restituzione di prestazioni.Secondo il cpv. 1 di questo articolo, nel tenore in vigore dal 1° aprile 2011, la domanda di restituzione è retta dall'art. 25 LPGA ad eccezione dei casi di cui all'articolo 55 e 59c cpv. 4.</w:t>
      </w:r>
    </w:p>
    <w:p>
      <w:r>
        <w:t>L'art.</w:t>
      </w:r>
    </w:p>
    <w:p>
      <w:r>
        <w:rPr>
          <w:b/>
        </w:rPr>
        <w:t>E. 25</w:t>
      </w:r>
    </w:p>
    <w:p>
      <w:r>
        <w:t>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2.3.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"1La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forfetario per lassicurazione obbligatoria delle cure medico-sanitarie: il premio massimo per la rispettiva categoria secondo la versione vigente dellordinanza del DFI3 sui premi medi cantonali dellassicurazione delle cure medico-sanitarie per il calcolo delle prestazioni complementari.</w:t>
      </w:r>
    </w:p>
    <w:p>
      <w:r>
        <w:t>3La franchigia per gli immobili conformemente allarticolo 3c capoverso 1 lettera c LPC ammonta a 75 000 franchi. Il computo della sostanza nel caso di beneficiari di una rendita di vecchiaia che vivono in un istituto o un ospedale (art. 3c cpv. 1 lett. c LPC) ammonta a un decimo.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e per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2.4.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2.5.   Con l'entrata in vigore della LPGA al 1° gennaio 2003 il vecchio art. 96 LADI, che regolava l'obbligo di informare e di annunciare, è stato abrogato.</w:t>
      </w:r>
    </w:p>
    <w:p>
      <w:r>
        <w:t>L'art.</w:t>
      </w:r>
    </w:p>
    <w:p>
      <w:r>
        <w:rPr>
          <w:b/>
        </w:rPr>
        <w:t>E. 28</w:t>
      </w:r>
    </w:p>
    <w:p>
      <w:r>
        <w:t>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 e per stabilire le prestazioni assicurative (cfr. art. 28 cpv. 2 LPGA).</w:t>
      </w:r>
    </w:p>
    <w:p>
      <w:r>
        <w:t>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 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In unaltra sentenza 8C_218/2015 del 7 settembre 2015 il TF ha ricordato che la LADI non prevede lo scambio generale di informazioni tra lURC e le varie casse di disoccupazione. Benché sia gli URC che le casse siano degli organi esecutivi dellassicurazione contro la disoccupazione, si tratta di due autorità distinte con compiti e competenze differenti. Inoltre in quel caso di specie non si poteva dedurre dal verbale del 17 maggio 2010 che il consulente dellURC aveva indicato allassicurato che non occorreva segnalare i guadagni intermedi. Il consulente sapeva che lassicurato svolgeva dei piccoli mandati, ma poteva partire dal presupposto che lassicurato compilasse il formulario nel modo corretto. In assenza di un sospetto di frode, non si può esigere dagli URC che trasmettano sistematicamente alle Casse di disoccupazione tutti gli elementi di cui vengono a conoscenza durante lo svolgimento delle loro funzioni, anche se gli stessi possono far pensare che lassicurato consegue un guadagno intermedio.</w:t>
      </w:r>
    </w:p>
    <w:p>
      <w:r>
        <w:t>Linsorgente ha così disatteso i suoi obblighi di cui agli art. 28 e 31 LPGA (cfr. consid. 2.5.).</w:t>
      </w:r>
    </w:p>
    <w:p>
      <w:r>
        <w:t>La mancata comunicazione di cui sopra, allorquando egli era iscritto in disoccupazione, ha impedito alla Cassa di verificare in modo corretto in che misura potevano essergli assegnate le indennità di disoccupazione per larco di tempo da giugno 2016 a giugno 2017 (cfr. art. 28 cpv. 2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