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38.2019.12 vom 17. April 2019</w:t>
      </w:r>
    </w:p>
    <w:p>
      <w:r>
        <w:t>TI Tribunale d'appello, 2019-04-17, IT</w:t>
      </w:r>
    </w:p>
    <w:p>
      <w:r>
        <w:rPr>
          <w:b/>
        </w:rPr>
        <w:t xml:space="preserve">Quelle: </w:t>
      </w:r>
      <w:r>
        <w:t>https://mcp.opencaselaw.ch/entscheid/ti_gerichte_38.2019.12</w:t>
      </w:r>
    </w:p>
    <w:p>
      <w:r>
        <w:t>FR: TI_GERICHTE 38.2019.12 du 17 avril 2019</w:t>
      </w:r>
    </w:p>
    <w:p>
      <w:r>
        <w:t>IT: TI_GERICHTE 38.2019.12 del 17 aprile 2019</w:t>
      </w:r>
    </w:p>
    <w:p>
      <w:pPr>
        <w:pStyle w:val="Heading2"/>
      </w:pPr>
      <w:r>
        <w:t>Erwägungen</w:t>
      </w:r>
    </w:p>
    <w:p>
      <w:r>
        <w:rPr>
          <w:b/>
        </w:rPr>
        <w:t>E. 1</w:t>
      </w:r>
    </w:p>
    <w:p>
      <w:r>
        <w:t>è un appartamento mansardato in fase di rinnovamento, attualmente è sfitto. D12: Conferma che tutti i suoi effetti personali si trovano presso l'attuale residenza di __________? Acconsente all'ispezione della sua residenza di __________ da parte del nostro Ufficio e/o delle autorità preposte al controllo degli abitanti del suo comune? R12: Si confermo. D13: Con chi vive a __________? R13: Nel mio appartamento ci vivo solo Io. D14: Possiede una soluzione abitativa all'estero? R14: No. D15: Con chi vive in Italia sua moglie? R15: Con i nostri figli. D16: Ci descriva dettagliatamente la residenza di __________. R16: Si tratta di un appartamento di 3.5 locali di circa 70 mq, composto da due camere, cucina e salone. D17: Nell'abitazione di __________ sono presenti dei suoi effetti personali? R17: Si qualcosa c'è, specialmente abiti lavorativi. D18: Ha altri parenti in Svizzera ed all'estero? R18: Mia sorella vive a __________, e poi i miei figli come dichiarato sopra. D19: Nel periodo precedente l'iscrizione in disoccupazione (mentre lavorava) quante volte in settimana rimaneva a dormire presso l'abitazione di sua moglie a __________? R19: A dipendenza delle cose da fare fuori dal lavoro pernottavo da 1 a 2 giorni a settimana. D20: Dopo la sua iscrizione in disoccupazione quante volte in settimana rimane a dormire presso l'abitazione della sua famiglia a __________? R20: Sempre con la stessa frequenza quindi da 1 a 2 giorni a settimana. D21: Conferma, che i suoi tre figli risiedente a __________ frequentano le scuole in Italia? Se si dove, che tipo di scuole? Anche a settembre 2018 inizieranno le scuole in Italia? R21: Chiara frequenta le scuole medie di __________ __________ frequenta le scuole elementari a __________ __________ se dovesse aprire (docenti licenziati __________ attualmente chiusa) l'asilo lo frequenterà __________. Tutte e due inizieranno il nuovo anno scolastico a __________ (2018-2019). D22: Chi si occupa di portare a scuola a __________ i suoi figli? R22: Vanno a piedi sono, dato che la scuola è a pochi minuti da casa. Il piccolo lo porta mia moglie. D23: Come mai sua moglie ed i suoi figli non si sono trasferiti in Svizzera a __________ con lei? R23: ln quanto mia moglie dal 2008 risiede a __________, poi abbiamo scelto di far frequentare le scuole ai nostri figli a __________ siccome riteniamo che l'istruzione per gli sbocchi futuri sia migliore. D24: Quante volte in settimana risiede a __________ con sua famiglia? R24: Da 1 a 2 giorni a settimana. D25: Come esegue le ricerche di lavoro? R25: Per ora vado principalmente di persona. D26: Prima di iscriversi in disoccupazione (quando lavorava), dove abitava? R26: Dal 2009 a __________. D27: Per quale motivo è stato interrotto l'ultimo rapporto professionale? Chi ha dato la disdetta? R27: Il mio lavoro è finito a causa del fallimento della Società. D28: Su quale conto corrente le veniva versato lo stipendio? R28: Veniva versato sul conto della Banca __________ con sede a __________. D29: Quale conto corrente ha messo a disposizione della cassa disoccupazione per il versamento delle indennità di disoccupazione? R29: Il conto corrente del __________ IBAN __________. D30: Possiede altri conti correnti bancari/postali in Svizzera? All'estero? R30: Un conto alla __________ con __________. D31: Conferma di possedere un'auto ed una moto immatricolate in Svizzera? Sua moglie possiede un'auto targata Italia? R31: Si. Mia moglie non possiede un'auto. D32: Quale mezzo utilizza normalmente per i suoi spostamenti in Svizzera? R32: Entrambi auto e moto. D33: Quale mezzo utilizza normalmente per i suoi spostamenti all'estero? R33: Normalmente l'auto. D34: Vi sono persone a suo carico in Svizzera? All'estero? R34: I tre figli e mia moglie a __________. D35: Sua moglie lavora? R35: No. D36: Dove ha abitato prima di portare la sua residenza in Svizzera? R36: A __________. D37: E' attivo in società/associazioni di carattere sportivo/umanitario/ culturali in Svizzera o all'estero? R37: In Svizzera sono allenatore della __________. Attività Sindacale a __________ legata alla vicenda dei __________ al __________, a titolo gratuito. D38: È previsto qualche cambiamento nella sua residenza in Svizzera? R38: No. D39: Dove risiede regolarmente durante i fine settimana e nei giorni festivi? R39: A __________. Lavorando a turni i giorni liberi potevano cadere di martedì e mercoledì (per esempio), quindi posso affermare di risiedere 5-6 giorni a settimana a __________ e 1-2 giorni a __________. D40: Tra gli obblighi delle persone iscritte in disoccupazione vi è l'obbligo di accettare qualsiasi occupazione ritenuta adeguata. È disposto ad ottemperare a quest'obbligo? R40: Si. D41: Tra gli obblighi delle persone iscritte in disoccupazione vi è l'obbligo di partecipare ai provvedimenti di reintegrazione (segnatamente programmi occupazionali e altri provvedimenti del mercato di lavoro). È disposto ad ottemperare a quest'obbligo? R41: Si. D42: Attualmente sta lavorando? R42: No. D43: Conferma che la sua abitazione di __________ si trova sulle varie piattaforme informatiche per affitta camere / appartamenti B&amp;B? R43: Si su booking e su airb&amp;b. Preciso che affitto solo l’appartamento senza preparare colazioni pranzi o cene. D44: Su quale conto bancario o postale riceve gli accrediti delle riservazioni: R44: Sul conto corrente del __________ IBAN __________. ” (Doc. 9) Il 13 agosto 2018 la Sezione del lavoro ha inviato al Posto di Polizia di __________ una richiesta di accertamenti (cfr. art. 32 LPGA), così formulata: " (…) Il signor RI 1 (1967), cittadino italiano, dichiara di risiedere in __________ nello stabile di sua proprietà dal 15.02.2009. Sulla residenza di __________ si evidenzia che la stessa è presente sui siti Internet www.booking.com e www.airbeb.it, come appartamenti e camere in affitto per soggiorni o vacanze sotto il nome di "__________" __________. Il signor RI 1 è coniugato dal 14.08.2004 con la signora __________ (__________1972), la quale risiede con i loro 3 figli in età scolare, __________ (__________2006), __________ (__________2008) e __________ (__________2014) in Italia a __________ (__________) in __________. I 3 figli frequentano le scuole a __________. Il signor RI 1 ha lavorato presso il __________ dal 01.09.1990 al 27.07.2018 e, a causa del fallimento del __________ si è iscritto in disoccupazione dal 07.08.2018. L'assicurato possiede una licenza di condurre Svizzera ed ha immatricolato i seguenti veicoli: • Automobile __________; •    Motoveicolo __________. Visto quanto sopra, formuliamo una richiesta d'intervento invitandovi a procedere con dei frequenti controlli settimanali, nelle fasce orarie giornaliere e notturne, preferibilmente dalle 23.00 alle 06.00 presso l'abitazione di __________ a __________, questo allo scopo di verificare se il signor RI 1 vi risieda e/o pernotti effettivamente. Questi controlli dovranno essere svolti per una durata di 4 settimane nel periodo tra agosto e settembre 2018. Al termine dei controlli, con cortese sollecitudine, vi chiediamo di volerci inviare un rapporto dettagliato di quanto costatato.” (Doc. 18/2) L’11 settembre 2018 la Gendarmeria di __________ ha inviato alla Sezione del lavoro il seguente Rapporto di constatazione: " Fatti: A mano della vostra richiesta, abbiamo provveduto ad effettuare dei controlli, più o meno regolari, presso la residenza del RI 1. Inizialmente ci siamo concentrati sulla presenza o meno dei due veicoli intestati al rubricato. Come si può notare sulla tabella allegata, su 31 controlli effettuati, la presenza del rubricato è stata costatata 5 volte. Questo in quanto era presente il veicolo __________. Unicamente in un'occasione è stato notato mentre falciava l'erba della proprietà. Vista la scarsa presenza del uomo presso il domicilio in __________, abbiamo provveduto ad assumere informazioni presso i seguenti vicini: -   __________ -   __________ Agli stessi abbiamo mostrato la fotografia di RI 1 e abbiamo chiesto se conoscessero qualcuno che abita al civico __________ in __________. Le due donne hanno dichiarato di non conoscere l'uomo della foto e di vedere sempre gente nuova che raggiunge la casa. Non saprebbero dire chi sia il proprietario. Presso lo stabile dove dovrebbe risiedere il RI 1 abbiamo notato che, né sulla buca delle lettere né sul campanello vi è il nome del rubricato, ma unicamente quello dei vecchi proprietari. Oltre a ciò, sulla ringhiera che circonda l'abitazione, abbiamo notato la presenza di un cartello dell'agenzia __________, questo sito vende proprietà. Abbiamo inoltre preso contatto con il Comune __________ e gli stessi ci hanno informati che il terreno e l'abitazione del civico 8 (mappale 200) sono di proprietà del RI 1. Lo stabile, suddiviso per piani, viene utilizzato per affittare appartamenti ed è presente su più piattaforme online. L'uomo non è mai stato visto frequentare le manifestazioni/attività di paese. Visto quanto sopra, il vostro sospetto che RI 1 utilizzi la residenza a __________ come dimora fittizia e di comodo è pressoché confermato. Per ulteriori ragguagli facciamo capo alla “tabella controllo presenze” allegata.” (Doc. 18) 2.3.   Chiamato ora a pronunciarsi, questo Tribunale evidenzia che, innanzitutto, le dichiarazioni rilasciate dal ricorrente davanti alla Sezione del lavoro il 22 agosto 2018 (cfr. consid. 2.2.) assumono un’importanza decisiva.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così concludere che, a giusta ragione, la Sezione del lavoro ha ritenuto che il ricorrente non ha in Svizzera il centro delle proprie relazioni di vita. 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Al riguardo cfr. pure STF 8C_186/2017 del 1° settembre 2017 , massimata in RtiD I-2018 N. 61 pag. 281 e menzionata al consid. 2.2. In concreto il centro delle relazioni personali dell’insorgente è situato a __________, dove vivono la moglie (sposata nel 2004) e tre figli minorenni, nati rispettivamente nel 2006, nel 2008 e nel 2014, in una casa ora di proprietà della moglie, ma fino al 2008 di proprietà della famiglia di RI 1. In tale abitazione egli è peraltro nato. A __________ le figlie del ricorrente frequentano una la scuola media e una la scuola elementare e il figlio più piccolo frequenterebbe, in caso di riapertura, la scuola dell’infanzia (cfr. doc. 11, doc. 13). È incontestato che l’assicurato abbia nel 2009 acquistato una casa d’epoca a __________, composta da quattro appartamenti. Questa abituazione costituisce tuttavia semplicemente una residenza secondaria (cfr. STF 8C_511/2018 del 12 marzo 2019). Non è infatti credibile che l’assicurato si sia, da una parte stabilito in Svizzera dal 2009 sostenendo di averne fatto il centro delle proprie relazioni personali, mentre, a quel momento, aveva due figlie piccole di tre, rispettivamente un anno (cinque anni dopo, nel 2014 è peraltro nato un altro figlio). A ciò si aggiunga che anche dai controlli di polizia effettuati durante un mese (dal 15 agosto al 15 settembre 2018, cfr. doc. 18.1) la presenza dell’assicurato a __________ è stata constatata assai raramente. Inoltre dagli atti risulta che tale stabile è da tempo in vendita (cfr. doc. 30-31, doc. 24/2). Il fatto che in passato il ricorrente abbia vissuto a __________ con i due figli più grandi (cfr. consid. 1.4, doc. A e doc. B) non modifica il carattere di residenza secondaria nel momento determinante, come giustamente rilevato dalla Sezione del lavoro (cfr. consid. 1.5). Del resto nella Dichiarazione della “__________” del 17 settembre 2009 allegata al ricorso viene precisato che “il giovane __________, nato il __________ 1993” è “domiciliato a __________” (cfr. doc. B). Quanto al fatto che l’assicurato afferma di avere da diversi mesi una relazione affettiva con una signora di cittadinanza Svizzera domiciliata a __________ (per un caso analogo cfr. STCA 38.2018.16 del 28 settembre 2018), tale circostanza non è determinante visto che lo stesso assicurato il 10 settembre 2018 ha affermato che non si separerà dalla moglie (cfr. doc. 16). A nulla di diverso può portare la circostanza che il ricorrente abbia amici in Svizzera (cfr. doc. G), che frequenti Ristoranti a __________ e a __________ (doc. doc. F e G), che svolga in Svizzera l’attività sportiva di allenatore di atletica leggera (doc. I), che disponga di un autoveicolo (doc. L) targato in Ticino, e che sia affiliato a una cassa malati (doc. 24/3) ed infine che abbia conseguito nel nostro Cantone il diploma di esercente (doc. doc. E). Per quanto riguarda le conoscenze, va in particolare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L’iscrizione all’AIRE è semplicemente un indizio, che va valutato congiuntamente ad altri elementi, per stabilire se un assicurato ha oppure no costituito la propria residenza effettiva in Svizzera ai sensi dell’art. 8 cpv. 1 lett. c LADI. L’iscrizione all’AIRE, pertanto, di per sé non comprova la residenza effettiva nel nostro Paese. In conclusione, dunque, nella decisione su opposizione del 21 gennaio 2019 la Sezione del lavoro ha stabilito che il presupposto dell’art. 8 cpv. 1 lett. c LADI in relazione con l’art. 12 LADI non è in concreto realizzato. 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o in disoccupazione parziale (cfr. art. 8 cpv. 1 lett. a LADI, 10 cpv. 2 lett. a LADI, 10 cpv. 2 bis LADI e STCA 38.2017.83 del 19 febbraio 2018, STF 8C_248/2018 del 19 novembre 2018 in SVR 2019 ALV Nr. 1; P. Usinger-Egger, “Europäisches Sozialrecht: vorübergehender Arbeitsausfall bei Grenzgängerinnen und Grenzgängern” in SZS/RSAS 2019 pag. 1-3)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2.5.   Nella presente fattispecie, come giustamente rilevato dall’amministrazione (cfr. consid. 1.3 e 1.5), l’assicurato non può essere posto al beneficio di indennità di disoccupazione in Svizzera sulla base di disposizioni del diritto internazionale della sicurezza sociale. Infatti, da una parte, secondo l’art. 11 cpv. 3 del Regolamento (CE/n. 883/2014) in materia di assicurazione contro la disoccupazione è competente lo Stato nel quale l’assicurato ha esercitato da ultimo la sua attività lavorativa dipendente (nel nostro caso: l’Italia), d’altra parte le regole differenti relative ai lavoratori frontalieri (cfr. consid. 2.4) non entrano qui in considerazione in quanto lo Stato di residenza e quello di lavoro non differiscono bensì coincidono. 2.6.   L’assicurato ha dichiarato la disponibilità della persona con la quale intrattiene una relazione ad essere interrogata (cfr. consid. 1.6). Considerato che i documenti già presenti nell’incarto consentono al TCA di emanare il proprio giudizio, questo Tribunale ritiene che l’assunzione di ulteriori prove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20 marzo 2018 consid. 6;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senza che ciò costituisca una lesione del diritto di essere sentito sancito dall'art. 29 cpv.</w:t>
      </w:r>
    </w:p>
    <w:p>
      <w:r>
        <w:rPr>
          <w:b/>
        </w:rPr>
        <w:t>E. 2</w:t>
      </w:r>
    </w:p>
    <w:p>
      <w:r>
        <w:t>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