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38.2018.74 vom 4. März 2019</w:t>
      </w:r>
    </w:p>
    <w:p>
      <w:r>
        <w:t>TI Tribunale d'appello, 2019-03-04, IT</w:t>
      </w:r>
    </w:p>
    <w:p>
      <w:r>
        <w:rPr>
          <w:b/>
        </w:rPr>
        <w:t xml:space="preserve">Quelle: </w:t>
      </w:r>
      <w:r>
        <w:t>https://mcp.opencaselaw.ch/entscheid/ti_gerichte_38.2018.74</w:t>
      </w:r>
    </w:p>
    <w:p>
      <w:r>
        <w:t>FR: TI_GERICHTE 38.2018.74 du 4 mars 2019</w:t>
      </w:r>
    </w:p>
    <w:p>
      <w:r>
        <w:t>IT: TI_GERICHTE 38.2018.74 del 4 marzo 2019</w:t>
      </w:r>
    </w:p>
    <w:p>
      <w:pPr>
        <w:pStyle w:val="Heading2"/>
      </w:pPr>
      <w:r>
        <w:t>Regeste</w:t>
      </w:r>
    </w:p>
    <w:p>
      <w:r>
        <w:t>Cassa, dopo trasmessione atti dal TCA che ha ritenuto adempiuto periodo di contrib., ha determinato GA in fr.1'950. Contestazione davanti a TCA allegando doc. bancari da cui emergono versam. x 8+9+10/2016 quali stip. x 3'500. Secondo veros. prep. percepito salari indicati.Rinvio per nuovo calcolo GA</w:t>
      </w:r>
    </w:p>
    <w:p>
      <w:pPr>
        <w:pStyle w:val="Heading2"/>
      </w:pPr>
      <w:r>
        <w:t>Erwägungen</w:t>
      </w:r>
    </w:p>
    <w:p>
      <w:r>
        <w:rPr>
          <w:b/>
        </w:rPr>
        <w:t>E. 1</w:t>
      </w:r>
    </w:p>
    <w:p>
      <w:r>
        <w:t>L’istruttoria amministrativa svolta, condotta sia attraverso l’audizione di diverse persone, che dall’esame della documentazione raccolta, ci induce a ipotizzare l’esistenza di un sistema artificioso mediante il quale la signora RI 1 ha tentato d’estendere in modo fittizio il periodo di contribuzione (art. 13 cpv. 1 LADI) e il salario (art. 23 LADI) determinanti per l’ottenimento delle indennità di disoccupazione.</w:t>
      </w:r>
    </w:p>
    <w:p>
      <w:r>
        <w:rPr>
          <w:b/>
        </w:rPr>
        <w:t>E. 2</w:t>
      </w:r>
    </w:p>
    <w:p>
      <w:r>
        <w:t>OADI). (…)” (Doc. 14)” non è atto a sovvertire l’esito della presente vertenza nella misura in cui, da una parte, si tratta di una citazione di un documento inviato dalla Sezione del lavoro al Ministero pubblico (cfr. STCA 38.2017.86 del 14 maggio 2018 consid. 2.7.), e dall’altra, esso si riferisce in ogni caso al mancato svolgimento di un’attività lavorativa da parte dell’assicurata da novembre 2016 a marzo 2017 ciò che è stato confermato d’altronde dal TCA nel giudizio del 14 maggio 2018 (cfr. consid. 1.1.). 2.6.   Alla luce di quanto sopra esposto, si giustifica nel caso di specie l’annullamento della decisione su opposizione del 18 ottobre 2018 e il rinvio degli atti alla Cassa affinché stabilisca nuovamente l’importo del guadagno assicurato dell’insorgente a far tempo dal 1° aprile 2017 sulla base di quanto stabilito al consid. 2.4. 2.7.   Vincente in causa, la ricorrente, rappresentata da un avvocato, ha diritto all’importo di fr. 1’200.-- a titolo di ripetibili da mettere a carico della Cassa (cfr. 30 Lptca;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