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38.2018.64 vom 2. August 2018</w:t>
      </w:r>
    </w:p>
    <w:p>
      <w:r>
        <w:t>TI Tribunale d'appello, 2018-08-02, IT</w:t>
      </w:r>
    </w:p>
    <w:p>
      <w:r>
        <w:rPr>
          <w:b/>
        </w:rPr>
        <w:t xml:space="preserve">Quelle: </w:t>
      </w:r>
      <w:r>
        <w:t>https://mcp.opencaselaw.ch/entscheid/ti_gerichte_38.2018.64_d20180802</w:t>
      </w:r>
    </w:p>
    <w:p>
      <w:r>
        <w:t>FR: TI_GERICHTE 38.2018.64 du 2 août 2018</w:t>
      </w:r>
    </w:p>
    <w:p>
      <w:r>
        <w:t>IT: TI_GERICHTE 38.2018.64 del 2 agosto 2018</w:t>
      </w:r>
    </w:p>
    <w:p>
      <w:pPr>
        <w:pStyle w:val="Heading2"/>
      </w:pPr>
      <w:r>
        <w:t>Regeste</w:t>
      </w:r>
    </w:p>
    <w:p>
      <w:r>
        <w:t>Negato diritto a indennità per insolvenza,per non avere rispettato l'obbligo di ridurre il danno.Il ricorrente,che non è mai stato pagato nei 6 mesi di lavoro non ha mai rivendicato per iscritto il salario e ha inoltrato una domanda di esecuzione soltanto + di 8 mesi dopo la fine del rapp.lavorativo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settembre 2017), non ha mai rivendicato per iscritto il versamento del salario ed ha inoltrato una domanda di esecuzione soltanto più di 8 mesi dopo (il 9 aprile 2018). Secondo questo Tribunale, una maggiore incisività si imponeva viste le difficoltà che l’assicurato ha avuto ad ottenere il salario già durante il rapporto di lavoro (cfr. STF 8C_749/2016 del 22 novembre 2017; STF 8C_573/2016 del 18 ottobre 2017; STF 8C_850/2016 del 9 marzo 2017; STCA 38.2017.46 del 9 agosto 2017; STCA 38.2017.28 del 24 maggio 2017; STCA 38.2017.17 del 10 maggio 2017). Non avrebbero comunque dovuto più esserci esitazioni dopo la conclusione dello stesso (cfr. STCA 38.2017.64 del 20 febbraio 2018; STCA 38.2017.85 del 9 febbraio 2018; STCA 38.2017.17 del 10 maggio 2017; STF 8C_749/2016 del 22 novembre 2017).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