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38.2018.61 vom 21. August 2018</w:t>
      </w:r>
    </w:p>
    <w:p>
      <w:r>
        <w:t>TI Tribunale d'appello, 2018-08-21, IT</w:t>
      </w:r>
    </w:p>
    <w:p>
      <w:r>
        <w:rPr>
          <w:b/>
        </w:rPr>
        <w:t xml:space="preserve">Quelle: </w:t>
      </w:r>
      <w:r>
        <w:t>https://mcp.opencaselaw.ch/entscheid/ti_gerichte_38.2018.61_d20180821</w:t>
      </w:r>
    </w:p>
    <w:p>
      <w:r>
        <w:t>FR: TI_GERICHTE 38.2018.61 du 21 août 2018</w:t>
      </w:r>
    </w:p>
    <w:p>
      <w:r>
        <w:t>IT: TI_GERICHTE 38.2018.61 del 21 agosto 2018</w:t>
      </w:r>
    </w:p>
    <w:p>
      <w:pPr>
        <w:pStyle w:val="Heading2"/>
      </w:pPr>
      <w:r>
        <w:t>Regeste</w:t>
      </w:r>
    </w:p>
    <w:p>
      <w:r>
        <w:t>Sosp. 4gg x insuff. ricerche (periodo di controllo di 7/18) confermata. Ad ass. non garantito impiego.Chiusura estiva aziende non impediva di svolgere ric. Sosp. 4 gg x insuff. ric. in 8/18 va ridotta a 3gg, poiché sanz.x 7/18 caratt.educativo solo dall'emanz.del 21/8 + 10-17/8gg esenti da controllo</w:t>
      </w:r>
    </w:p>
    <w:p>
      <w:pPr>
        <w:pStyle w:val="Heading2"/>
      </w:pPr>
      <w:r>
        <w:t>Erwägungen</w:t>
      </w:r>
    </w:p>
    <w:p>
      <w:r>
        <w:rPr>
          <w:b/>
        </w:rPr>
        <w:t>E. 5</w:t>
      </w:r>
    </w:p>
    <w:p>
      <w:r>
        <w:t>in cui è stato confermato un periodo di valutazione delle ricerche di impiego di tre mesi prima del termine del contratto di durata determinata; STF 8C_863/2014 del 16 marzo 2015 consid. 2.2., pubblicata in DTF 141 V 365; Comunicazioni e istruzioni UFIAML, n. 12, 29 dicembre 1981, pag. 6, n. 3; D. Cattaneo, op. cit., pag. 17).</w:t>
      </w:r>
    </w:p>
    <w:p>
      <w:r>
        <w:t>2.4.   Per stabilire se un assicurato si è sforzato a sufficienza per trovare un'occupazione adeguata non è importante soltanto la quantità bensì anche la qualità delle ricerche effettuate (cfr. DTF 124 V 231 consid. 4a; DTF 120 V 76 consid. 2 con riferimenti; STFA C 49/00 del 15 gennaio 2001).</w:t>
      </w:r>
    </w:p>
    <w:p>
      <w:r>
        <w:t>Per quel che attiene allaspetto quantitativo, va evidenziato che la LADI non prevede un numero minimo di ricerche di impiego da svolgere mensilmente.</w:t>
      </w:r>
    </w:p>
    <w:p>
      <w:r>
        <w:t>La giurisprudenza cantonale ha, tuttavia, stabilito, quale linea di riferimento (e non quale regola con carattere assoluto), che per ogni periodo di controllo vanno comprovate almeno quattro ricerche qualitativamente valide (cfr., per tutte, la STCA AD 247/86 del 28 gennaio 1987).</w:t>
      </w:r>
    </w:p>
    <w:p>
      <w:r>
        <w:t>L'Alta Corte, pur confermando tale principio (cfr. STFA C 33/87; STFA C 286/02 del 3 luglio 2003), ha precisato che occorre valutare nel singolo caso concreto quante ricerche mensili siano esigibili da ogni assicurato, sottolineando che la prassi amministrativa esige in media da dieci a dodici ricerche di impiego al mese (cfr. STF 8C_209/2018 del 14 novembre 2018 consid. 3.3.; STFA C 106/04 del 12 luglio 2005 consid. 2.1.; STFA C 199/05 del 29 settembre 2005; STFA C 6/05 del</w:t>
      </w:r>
    </w:p>
    <w:p>
      <w:r>
        <w:rPr>
          <w:b/>
        </w:rPr>
        <w:t>E. 6</w:t>
      </w:r>
    </w:p>
    <w:p>
      <w:r>
        <w:t>agosto 2002).</w:t>
      </w:r>
    </w:p>
    <w:p>
      <w:r>
        <w:t>La decisione su opposizione del 10 settembre 2018 impugnata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