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38.2018.58 vom 26. November 2018</w:t>
      </w:r>
    </w:p>
    <w:p>
      <w:r>
        <w:t>TI Tribunale d'appello, 2018-11-26, IT</w:t>
      </w:r>
    </w:p>
    <w:p>
      <w:r>
        <w:rPr>
          <w:b/>
        </w:rPr>
        <w:t xml:space="preserve">Quelle: </w:t>
      </w:r>
      <w:r>
        <w:t>https://mcp.opencaselaw.ch/entscheid/ti_gerichte_38.2018.58</w:t>
      </w:r>
    </w:p>
    <w:p>
      <w:r>
        <w:t>FR: TI_GERICHTE 38.2018.58 du 26 novembre 2018</w:t>
      </w:r>
    </w:p>
    <w:p>
      <w:r>
        <w:t>IT: TI_GERICHTE 38.2018.58 del 26 novembre 2018</w:t>
      </w:r>
    </w:p>
    <w:p>
      <w:pPr>
        <w:pStyle w:val="Heading2"/>
      </w:pPr>
      <w:r>
        <w:t>Regeste</w:t>
      </w:r>
    </w:p>
    <w:p>
      <w:r>
        <w:t>A ragione assicurato sospeso dal diritto a ID (28 giorni), in quanto il licenziamento nel periodo di prova è avvenuto per sua colpa. A causa di stato di ebbrezza gli è stata ritirata la patente e non ha avvertito il DL. I problemi finanziari non hanno alcun ruolo nella valutazione della colpa</w:t>
      </w:r>
    </w:p>
    <w:p>
      <w:pPr>
        <w:pStyle w:val="Heading2"/>
      </w:pPr>
      <w:r>
        <w:t>Erwägungen</w:t>
      </w:r>
    </w:p>
    <w:p>
      <w:r>
        <w:rPr>
          <w:b/>
        </w:rPr>
        <w:t>E. 2</w:t>
      </w:r>
    </w:p>
    <w:p>
      <w:r>
        <w:t>febbraio 2011). Tuttavia, lo svolgimento di un pubblico dibattimento in materia di assicurazioni sociali presuppone l'esistenza di una richiesta chiara e inequivocabile di una parte nel corso della procedura ricorsuale di prima istanza (cfr.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 richieste di sopralluogo, non bastano per creare un simile obbligo (cfr.  STF 9C_321/2018 del 16 ottobre 2018; STF 9C_442/2018 del 16 ottobre 2018; STF 8C_550/2017 del 12 gennaio 2018 a proposito dell’art. 29 Cost. fed.;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Nella presente evenienza la patrocinatrice dell’assicurato ha chiesto l’audizione personale dell’assicurato e di alcuni testi, oltre al richiamo dell’incarto dell’UMA, e quindi ha formulato una richiesta di assunzione di prove. C 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Nel caso di specie, ritenuto che i documenti già presenti all’inserto consentono al TCA di emanare il proprio giudizio, questo Tribunale ritiene che l’assunzione delle prove richieste non potrebbe mettere in luce nuovi elementi concreti ai fini della risoluzione della vertenza. La richiesta di assunzione di prove dell’assicurato, deve dunque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