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38.2018.46 vom 20. September 2018</w:t>
      </w:r>
    </w:p>
    <w:p>
      <w:r>
        <w:t>TI Tribunale d'appello, 2018-09-20, IT</w:t>
      </w:r>
    </w:p>
    <w:p>
      <w:r>
        <w:rPr>
          <w:b/>
        </w:rPr>
        <w:t xml:space="preserve">Quelle: </w:t>
      </w:r>
      <w:r>
        <w:t>https://mcp.opencaselaw.ch/entscheid/ti_gerichte_38.2018.46</w:t>
      </w:r>
    </w:p>
    <w:p>
      <w:r>
        <w:t>FR: TI_GERICHTE 38.2018.46 du 20 septembre 2018</w:t>
      </w:r>
    </w:p>
    <w:p>
      <w:r>
        <w:t>IT: TI_GERICHTE 38.2018.46 del 20 settembre 2018</w:t>
      </w:r>
    </w:p>
    <w:p>
      <w:pPr>
        <w:pStyle w:val="Heading2"/>
      </w:pPr>
      <w:r>
        <w:t>Regeste</w:t>
      </w:r>
    </w:p>
    <w:p>
      <w:r>
        <w:t>Negate ind. di disoccupaz. da 16/2/18, poiché fino 20/2/18 era gerente con firma individ. Tuttavia da doc. non risulta quando società ricevuto dimissioni. Rinvio atti x appurare tale fatto. Da quel momento condiz. art.8 cpv.1 lett.a LADI realizzato in quanto ric. non poteva + influenzare dec. del DL</w:t>
      </w:r>
    </w:p>
    <w:p>
      <w:pPr>
        <w:pStyle w:val="Heading2"/>
      </w:pPr>
      <w:r>
        <w:t>Erwägungen</w:t>
      </w:r>
    </w:p>
    <w:p>
      <w:r>
        <w:rPr>
          <w:b/>
        </w:rPr>
        <w:t>E. 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Questo Tribunale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sviluppato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 Il rischio d’abuso non esiste dunque più quando l’assicurato in questione dimostra di avere rotto ogni legame con la ditta. 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 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proposito B. Rubin, in “Commentaire de la loi sur l’assurance-chômage”, Ed. Schulthess 2014 pag. 99 ha sviluppato le seguenti considerazioni: " Dans une Sàrl, les associés qui n’occupent pas la fonction de gérant ne sont pas d’emblée exclus du droit. Une examen de leur pouvoir effectif d’influencer les décision de l’entreprise est nécessaire (arrêt du 19 décembre 2006 [C 267/05] consid. 4). 26 Pour les personnes licenciées qui ne font pas formellement partie d’un organe dirigeant mais qui disposent encore d’une part sociale, leur droit ne pourra être exclu que si leur part est importante (en principe d’au moins 30%) ou si la possibilité d’influencer les décisions est considérable pour d’autres motifs, par exemple en raison de liens de parenté avec d’autres personnes jouissant d’un pouvoir décisionnel important (arrêts du 13 février 2009 [8C_1044/2008] ; 10 avril 2006 [C 61/05] ; 27 janvier 2005 [C 45/04] ; 14 mars 2003 [C 120/02]. ”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In quell’occasione il TCA si è così espresso: " (…) Da questo documento risulta con evidenza, come sostenuto a ragione dall’amministrazione (cfr. doc. 62-63), che X. _________, attraverso la Z. _________, era di fatto compartecipe finanziario in ragione di un terzo della B. _________ (cfr. doc. 45 – 47; le affermazioni del rappresentante del ricorrente nello scritto del 1° settembre 2014 inviato al datore di lavoro nel quale evidenzia “come grazie al fondamentale apporto – finanziario lavorativo – del mio mandante la B. _________ ha potuto essere costituita e da dicembre 2013 a maggio 2014, su 38 fatture solo 2 non sono state frutto della sua intermediazione. Il tutto senza sinora essere stato retribuito come da contratto di lavoro 20 dicembre 2013.”, doc. 43 e le precisazioni dello stesso assicurato del 1° luglio 2016, “Di fatto come socio ho contribuito unicamente a versare 1/3 del capitale sociale (andato perso, visto che le quote sono detenute dalla Z. _________), e ad apporre il mio avvallo presso la banca dove abbiamo aperto il conto.”, doc. 52). Già solo per questa importante partecipazione finanziaria superiore al 30% (cfr. Rubin op.cit. al consid. 2.4 in fine), che oltretutto non risulta esplicitamente, X. _________, anche se non era formalmente iscritto come socio gerente, non ha diritto all’indennità per insolvenza. (…)” A proposito della partecipazione finanziaria importante come motivo per escludere il diritto alle prestazioni vedi pure STF 8C_1044/2008 del 13 febbraio 2009; STCA 38.2016.12 del 5 settembre 2016; STCA 38.2012.27 del 24 settembre 2012; STCA 38.2008.3 del 12 marzo 2008. 2.2.   In una sentenza pubblicata in DTF 126 V 134 relativa all’indennità per insolvenza, l’Alta Corte ha stabilito che per determinare il momento dell’uscita dal consiglio di amministrazione di una società anonima decisiva è la data, per analogia con la giurisprudenza relativa all’art. 52 LAVS, delle effettive dimissioni dal consiglio di amministrazione (“Dies ist der Zeitpunkt des effektiven Rücktritts, welcher umittelbar wirksam ist”), e non quella della cancellazione dell’iscrizione nel registro di commercio o quella della pubblicazione nel Foglio ufficiale svizzero di commercio (consid. 5b). Questa giurisprudenza viene costantemente confermata dal Tribunale federale (cfr. STF 8C_478/2018 del 16 agosto 2018 pure relativa all’indennità per insolvenza). Le dimissioni da una carica in seno a una società sono un atto unilaterale soggetto a ricezione e non sono sottoposte ad alcuna forma particolare, anche se un documento redatto in forma scritta permette meglio di stabilire le dimissioni effettive (cfr. STF 8C_140/2010 del 12 ottobre 2010 consid. 4.4.2.; e la sentenza della Corte delle assicurazioni sociali del Tribunale cantonale vodese ACH 1/09-96/2009 del 1° dicembre 2009 consid. 4b " encore faut-il toutefois que la démission effective soit dûment établie, par la production d’un document probant (lettre de démission ou procès-verbal d’assemblée générale ) adressé au RC avec la réquisition de radiation, de manière à exclure tout abus”). In proposito cfr. pure STF 8C_820/2009 del 28 ottobre 2010; STFA C 358/01 del 17 settembre 2003; STCA 38.2005.70 del 30 novembre 2005; STCA 38.2012.27 del 24 settembre 2012. Per il cambiamento di cassa malati cfr. DTF 126 V 480. 2.3.   Nella presente fattispecie dagli atti dell’incarto non risulta quando la società ha ricevuto (consid. 2.2) le dimissioni dell’assicurata dalla sua carica di socia-gerente. Gli atti vanno quindi rinviati all’amministrazione affinché appuri questo fatto. A partire dal quel momento il presupposto dell’art. 8 cpv. 1 lett. a in relazione con l’art. 10 LADI (cfr. B Rubin, “Commentaire de la loi sur l’assurance-chômage”, Ed. Schulthess 2014 pag. 97-102) è realizzato in quanto RI 1 non poteva più influenzare risolutivamente le decisioni del datore di lavoro. Da notare che la Cassa ha fissato questo momento al 21 febbraio 2018 (visto che l’iscrizione nel giornale è avvenuta il 20 febbraio 2018, cfr. doc. 5), ma ha comunque respinto l’opposizione (cfr. consid. 1.3 in fine: “La Cassa dovrà eventualmente verificare il diritto alle indennità di disoccupazione a decorrere dal 21 febbraio 2018 tenendo in considerazione la documentazione presentata in sede di opposizione”). L’operato dell’amministrazione non è corretto. Infatti, per costante giurisprudenza, la data della decisione su opposizione segna il limite temporale del potere cognitivo del giudice delle assicurazioni sociali (cfr. DTF 132 V 368; DTF 131 V 412; DTF 130 V 140 e DTF 129 V 4). Nella caso concreto questo momento si fissa al 27 giugno 2018 (data della decisione su opposizione). Quando viene inoltrata un’opposizione la decisione su opposizione sostituisce la decisione iniziale (cfr. DTF 132 V 368 consid. 6.1 pag. 375). L’amministrazione deve pertanto prendere in considerazione tutti i fatti che si sono prodotti fino al momento della decisione su opposizione (cfr. sul tema: STF 8C_1016/2012 del 19 agosto 2013 consid. 4.3). U. Kieser (in “ATSG-Kommentar”; Ed. Schulthess 2015) al riguardo sottolinea che: " (…) Deshalb hat die Einspracheinstanz allfällige Entwicklungen des Sachverhalts bis zum Erlass des Einspracheentscheids mitzuberücksichtigen (vgl. BGE 116 V 248, 132 V 368). Auch darin manifestiert sich, dass der Einspracheentscheid reformatorisch und nicht kassatorisch ist. Es sind also grundsätzlich die (rechtlichen und) tatsächlichen Verhältnisse zur Zeit des Erlasses des Einspracheentscheids massgebend; freilich setz dies hohe Anforderungen an die Abklärung, welche während des Einspracheverfahrens (das zuweilen einige Monate dauern kann) grundsätzlich muss. (…)“ (ad art. 52; pag. 693 n. 60) La Cassa, che ha riconosciuto che dal 21 febbraio 2018 l’assicurata non poteva più influenzare la decisione del datore di lavoro, avrebbe dovuto esaminare gli ulteriori presupposti dell’art. 8 cpv. 1 LADI, in particolare quello della lett. e in relazione con l’art. 13 LADI (sul tema cfr. STF 8C_820/2017 del 29 dicembre 2017 e STCA 38.2017.47 del 19 ottobre 2017; STCA 38.2017.94 del 29 marzo 2018) oggetto peraltro della decisione iniziale di rifiuto delle prestazioni datata 5 aprile 2018 (cfr. consid. 1.2), sulla base “della documentazione prodotta in sede di opposizione” (cfr. consid. 1.3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