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38.2018.34 vom 20. September 2017</w:t>
      </w:r>
    </w:p>
    <w:p>
      <w:r>
        <w:t>TI Tribunale d'appello, 2017-09-20, IT</w:t>
      </w:r>
    </w:p>
    <w:p>
      <w:r>
        <w:rPr>
          <w:b/>
        </w:rPr>
        <w:t xml:space="preserve">Quelle: </w:t>
      </w:r>
      <w:r>
        <w:t>https://mcp.opencaselaw.ch/entscheid/ti_gerichte_38.2018.34_d20170920</w:t>
      </w:r>
    </w:p>
    <w:p>
      <w:r>
        <w:t>FR: TI_GERICHTE 38.2018.34 du 20 septembre 2017</w:t>
      </w:r>
    </w:p>
    <w:p>
      <w:r>
        <w:t>IT: TI_GERICHTE 38.2018.34 del 20 settembre 2017</w:t>
      </w:r>
    </w:p>
    <w:p>
      <w:pPr>
        <w:pStyle w:val="Heading2"/>
      </w:pPr>
      <w:r>
        <w:t>Regeste</w:t>
      </w:r>
    </w:p>
    <w:p>
      <w:r>
        <w:t>Negata insolvenza, non avendo intrapreso tutti i passi necessari a tutela dei crediti salariali. Pagato x 3 mesi e rimasto più di 1 anno senza paga. Non fatto spiccare PE. Costo PE non valido motivo x rimanere inattivo. Negato GP poiché non rappr. da avv. e non necessario avvocato d'ufficio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cpv. 1 LPGA prevede che se il termine è computato in giorni o in mesi e deve essere notificato alle parti, inizia a decorrere il giorno dopo la notificazione.</w:t>
      </w:r>
    </w:p>
    <w:p>
      <w:r>
        <w:t>Se l'ultimo giorno del termine è un sabato, una domenica o un giorno festivo riconosciuto dal diritto federale o cantonale, il termine scade il primo giorno feriale seguente. È determinante il diritto del Cantone in cui ha domicilio o sede la parte o il suo rappresentante (cpv. 3).</w:t>
      </w:r>
    </w:p>
    <w:p>
      <w:r>
        <w:t>I termini stabiliti dalla legge o dall'autorità in giorni o in mesi non decorrono dal settimo giorno precedente la Pasqua al settimo giorno successivo alla Pasqua incluso, dal 15 luglio al 15 agosto incluso, dal 18 dicembre al 2 gennaio incluso (cpv. 4).</w:t>
      </w:r>
    </w:p>
    <w:p>
      <w:r>
        <w:t>Lassunzione di eventuali altre prove non potrebbe, in concreto, mettere in luce nuovi elementi concreti ai fini della risoluzione della vertenza.</w:t>
      </w:r>
    </w:p>
    <w:p>
      <w:r>
        <w:t>Per quanto concerne lasserzione ricorsuale secondo cui lassicurato non ha proceduto a far spiccare un precetto esecutivoperché usavo quei soldi per mangiare(cfr. doc. VI1; consid.1.5.), è utile evidenziare che linoltro di un precetto esecutivo non comporta una spesa rilevante rispetto allentità del credito da far valere.</w:t>
      </w:r>
    </w:p>
    <w:p>
      <w:r>
        <w:t>Il costo varia, in effetti, a seconda del valore del credito. Per un credito il cui importo si attesti tra fr. 10'000.-- e fr. 100'000.-- la tassa ammonta a fr. 103.30 (la tassa base è di fr. 90.-- a cui si aggiungono le spese di spedizione per la notifica del precetto esecutivo, di norma fr. 8.-- e della copia indirizzata al creditore, di norma fr. 5.30. In caso di problemi in occasione della notifica del precetto esecutivo possono eccezionalmente insorgere costi supplementari)per lesemplare per il debitore e a fr. 58.30 per lesemplare per leventuale coescusso (cfr. art. 16 ordinanza del 23 settembre 1996 sulle tasse riscosse in applicazione della legge federale sulla esecuzione e sul fallimento; www.e-service.admin.ch/eschkg/cms/content/faq/teuertab_it;www.ti.ch/di/dg/uef/procedura-interattiva/precetto-esecutivo; STCA 38.2017.64 del 5 marzo 2018 consid. 2.5.).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