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38.2018.24 vom 19. Dezember 2017</w:t>
      </w:r>
    </w:p>
    <w:p>
      <w:r>
        <w:t>TI Tribunale d'appello, 2017-12-19, IT</w:t>
      </w:r>
    </w:p>
    <w:p>
      <w:r>
        <w:rPr>
          <w:b/>
        </w:rPr>
        <w:t xml:space="preserve">Quelle: </w:t>
      </w:r>
      <w:r>
        <w:t>https://mcp.opencaselaw.ch/entscheid/ti_gerichte_38.2018.24_d20171219</w:t>
      </w:r>
    </w:p>
    <w:p>
      <w:r>
        <w:t>FR: TI_GERICHTE 38.2018.24 du 19 décembre 2017</w:t>
      </w:r>
    </w:p>
    <w:p>
      <w:r>
        <w:t>IT: TI_GERICHTE 38.2018.24 del 19 dicembre 2017</w:t>
      </w:r>
    </w:p>
    <w:p>
      <w:pPr>
        <w:pStyle w:val="Heading2"/>
      </w:pPr>
      <w:r>
        <w:t>Regeste</w:t>
      </w:r>
    </w:p>
    <w:p>
      <w:r>
        <w:t>Negato diritto indennità per insolvenza. Crediti salariali non sono stati rivendicati in modo sufficientemente tempestivo. Attività iniziata 5/2015 e ricevuto solo acconti. Sforzi avrebbero dovuto essere intensificati dopo la fine del rapporto lavorativo (3/2016). PE fatto spiccare solo il 29.9.2016</w:t>
      </w:r>
    </w:p>
    <w:p>
      <w:pPr>
        <w:pStyle w:val="Heading2"/>
      </w:pPr>
      <w:r>
        <w:t>Erwägungen</w:t>
      </w:r>
    </w:p>
    <w:p>
      <w:r>
        <w:rPr>
          <w:b/>
        </w:rPr>
        <w:t>E. 22</w:t>
      </w:r>
    </w:p>
    <w:p>
      <w:r>
        <w:t>novembre 2016 (cfr. doc. 98). Il 13 dicembre 2016 il ricorrente ha chiesto di proseguire l’esecuzione (cfr. doc. F8) e il 14 dicembre 2016 l’UEF ha emesso la comminatoria di fallimento (cfr. doc. F9). Il 21 novembre 2017 il Pretore del Distretto di __________ ha stralciato dai ruoli la procedura fallimentare in quanto l’assicurato ha comunicato di non potersi fare carico dell’anticipo delle spese di procedura (cfr. doc. G10). 2.5.   Chiamato ora a pronunciarsi, il TCA ritiene che gli sforzi compiuti dall’assicurato per ottenere quanto dovutogli dalla __________ di __________ siano insufficienti e che quindi la Cassa ha correttamente negato al ricorrente il diritto all’indennità per insolvenza. In effetti l’assicurato, che ha iniziato la sua attività lucrativa il 18 maggio 2015 e che fino al 31 agosto 2015 aveva ricevuto solo due acconti, che dal 1° settembre ha concordato con il proprio datore di lavoro un aumento di un terzo del salario (da fr. 4200.-- a fr. 6'500.--), che a settembre ha ottenuto soltanto due acconti, ed ha poi ricevuto ulteriori acconti in dicembre 2015 e in febbraio 2016, avrebbe dovuto adottare misure più incisive per ottenere tutti i salari arretrati, come peraltro preannunciato nel suo scritto del 14 settembre 2015. Tali sforzi avrebbero dovuto essere intensificati dopo lo scioglimento del contratto di lavoro per giusta causa il 1° marzo 2016. Il ricorrente ha invece fatto spiccare il precetto esecutivo soltanto sei mesi dopo, il 29 settembre 2016. In simili condizioni, questo Tribunale ritiene che l’assicurato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Secondo questo Tribunale una maggiore incisività si imponeva viste le difficoltà che l’assicurato ha avuto ad ottenere il salario già durante il rapporto di lavoro (cfr. STF 8C_749/2016 del 22 novembre 2017; STF 8C_573/2016 del 18 ottobre 2017; STF 8C_850/2016 del 9 marzo 2017; STCA 38.2017.46 del 9 agosto 2017; STCA 38.2017.85 del 9 febbraio 2018; STCA 38.2017.28 del 24 maggio 2017; STCA 38.2017.17 del 10 maggio 2017). Non avrebbero comunque dovuto più esserci esitazioni dopo la conclusione dello stesso (cfr. STCA 38.2017.85 del 9 febbraio 2018; STCA 38.2017.17 del 10 maggio 2017; STF 8C_749/2016 del 22 novembre 2017). La decisione su opposizione del 7 marzo 2018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