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38.2018.23 vom 27. Juni 2017</w:t>
      </w:r>
    </w:p>
    <w:p>
      <w:r>
        <w:t>TI Tribunale d'appello, 2017-06-27, IT</w:t>
      </w:r>
    </w:p>
    <w:p>
      <w:r>
        <w:rPr>
          <w:b/>
        </w:rPr>
        <w:t xml:space="preserve">Quelle: </w:t>
      </w:r>
      <w:r>
        <w:t>https://mcp.opencaselaw.ch/entscheid/ti_gerichte_38.2018.23_d20170627</w:t>
      </w:r>
    </w:p>
    <w:p>
      <w:r>
        <w:t>FR: TI_GERICHTE 38.2018.23 du 27 juin 2017</w:t>
      </w:r>
    </w:p>
    <w:p>
      <w:r>
        <w:t>IT: TI_GERICHTE 38.2018.23 del 27 giugno 2017</w:t>
      </w:r>
    </w:p>
    <w:p>
      <w:pPr>
        <w:pStyle w:val="Heading2"/>
      </w:pPr>
      <w:r>
        <w:t>Regeste</w:t>
      </w:r>
    </w:p>
    <w:p>
      <w:r>
        <w:t>Ricorso contro decisione su opposiz.di irricev.per tardività irricevibile,in quanto tardivo.Ordine alla Posta di prolungare il termine di giacenza non permette di posticipare il momento della notificazione di un atto. Non sono dati motivi giustificanti la restituz. dei termini.No difensore d'ufficio</w:t>
      </w:r>
    </w:p>
    <w:p>
      <w:pPr>
        <w:pStyle w:val="Heading2"/>
      </w:pPr>
      <w:r>
        <w:t>Erwägungen</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Dopo l'entrata in vigore della LPGA (al 1° gennaio 2003),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130seg.).</w:t>
      </w:r>
    </w:p>
    <w:p>
      <w:r>
        <w:t>Se il termine di ricorso è spirato, il giudice non entra nel merito di un ricorso tardivo, per cui la decisione contestata cresce in giudicato (cfr. DTF110 V 37 consid. 2; Locher, Grundriss des Sozialversicherungsrechts, 2003, § 73 Nr. 9, pag. 479).</w:t>
      </w:r>
    </w:p>
    <w:p>
      <w:r>
        <w:t>2.7.   Occorre ora esaminare se il ricorrente può prevalersi della restituzione del termine.</w:t>
      </w:r>
    </w:p>
    <w:p>
      <w:r>
        <w:t>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Di analogo tenore è lart. 14 Lptca relativo alla restituzione per inosservanza.</w:t>
      </w:r>
    </w:p>
    <w:p>
      <w:r>
        <w:t>Listituto della restituzione dei termini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consid.4.2.; RDAT II-1999 n. 8, pag. 32; DTF 119 II 86, consid. 2a, DTF 112 V 255, consid.2a; cfr., pure, STFA K 34/03 del 2 luglio 2003).</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2.8.Nel caso di speciequesta Corte ritiene che non siano dati i presupposti per restituire il termine per interporre ricorso contro la decisione su opposizione del 12 gennaio 2018.</w:t>
      </w:r>
    </w:p>
    <w:p>
      <w:r>
        <w:t>In effetti il TCA non ravvede alcun valido motivo che renda scusabile linoltro tardivo del ricorso.</w:t>
      </w:r>
    </w:p>
    <w:p>
      <w:r>
        <w:t>Il ricorrente, del resto, pur avendone la possibilità (cfr. doc. IV; V), non ha fatto valere alcuna specifica circostanza che possa in qualche modo giustificare il ritardo con cui è stata contestata la decisione su opposizione del 12 gennaio 2018.</w:t>
      </w:r>
    </w:p>
    <w:p>
      <w:r>
        <w:t>2.9.Linsorgente ha chiesto, nel ricorso, la possibilità di esprimersi oralmente (cfr. doc. I pag. 4 p.to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