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38.2016.70 vom 6. September 2017</w:t>
      </w:r>
    </w:p>
    <w:p>
      <w:r>
        <w:t>TI Tribunale d'appello, 2017-09-06, IT</w:t>
      </w:r>
    </w:p>
    <w:p>
      <w:r>
        <w:rPr>
          <w:b/>
        </w:rPr>
        <w:t xml:space="preserve">Quelle: </w:t>
      </w:r>
      <w:r>
        <w:t>https://mcp.opencaselaw.ch/entscheid/ti_gerichte_38.2016.70</w:t>
      </w:r>
    </w:p>
    <w:p>
      <w:r>
        <w:t>FR: TI_GERICHTE 38.2016.70 du 6 septembre 2017</w:t>
      </w:r>
    </w:p>
    <w:p>
      <w:r>
        <w:t>IT: TI_GERICHTE 38.2016.70 del 6 settembre 2017</w:t>
      </w:r>
    </w:p>
    <w:p>
      <w:pPr>
        <w:pStyle w:val="Heading2"/>
      </w:pPr>
      <w:r>
        <w:t>Erwägungen</w:t>
      </w:r>
    </w:p>
    <w:p>
      <w:r>
        <w:rPr>
          <w:b/>
        </w:rPr>
        <w:t>E. 2</w:t>
      </w:r>
    </w:p>
    <w:p>
      <w:r>
        <w:t>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 In secondo luogo, che proprio nell’ambito dell’assicurazione contro la disoccupazione il TCA ha stabilito che la soluzione di separazione personale e gerarchica tra colui che decide e colui che esamina l'opposizione, anche se appartenenti al medesimo ufficio, ad esempio all’Ufficio regionale di collocamento, è conforme all'art. 52 cpv. 1 LPGA e all'art. 127 cpv. 2 vOADI in vigore fino al 31 marzo 2011 (“i Cantoni possono conferire ai servizi cantonali la competenza in materia di opposizioni contro decisioni emanate dagli URC nel quadro dell'articolo 85b LADI. (cpv. 1) In tutti gli altri casi è competente in materia di opposizioni l'autorità che ha emanato la decisione. (cpv. 2)”; cfr. STCA 38.2003.89 del 27 maggio 2004; STCA 38.2003.28 del 24 marzo 2003; STCA 38.2003.34 del 6 giugno 2003; STCA 38.2003.30 del 18 agosto 2003; STCA 38.2003.32 dell'8 settembre 2003; STCA 38.2003.49 del 24 novembre 2003; STCA 38.2003.51 del 9 febbraio 2004). In simili condizioni, nel caso di specie non vi è motivo per sanzionare da questo profilo l’operato della Cassa (cfr. pure STCA 42.2012.18 del 14 agosto 2013). 2.2.   Questa Corte constata poi che nella decisione su opposizione impugnata la Cassa si è esplicitamente pronunciata in merito alle indennità di disoccupazione relative ai mesi di settembre e ottobre 2016 (cfr. doc. A1). RI 1 nel ricorso sostiene, tuttavia, di avere impugnato anche il conteggio del mese di agosto 2016 (cfr. doc. I). In effetti dalle carte processuali risulta che con lo scritto del 16 ottobre 2016 l’assicurato ha contestato il conteggio del 29 settembre 2016 relativo al mese di agosto 2016, formulando obiezioni circa il calcolo del guadagno assicurato e quindi dell’indennità giornaliera, come pure del guadagno intermedio derivante dalla sua attività indipendente (cfr. doc. 18=XXI4). L'oggetto impugnato non viene stabilito esclusivamente sulla base del contenuto effettivo di una decisione. Esso è, infatti, costituito sia dai rapporti giuridici sui quali l'amministrazione si è pronunciata nel provvedimento, che da quelli su cui a torto l'amministrazione ha omesso di esprimersi nella decisione (cfr. STF 9C_309/2011 del 12 dicembre 2011 consid. 3.2.; STFA U 105/03 del 23 dicembre 2003 consid. 4.2.). La giurisprudenza del Tribunale federale ha, inoltre, stabilito che l'oggetto della lite è il rapporto giuridico che - nell'ambito dell'oggetto della contestazione determinato dalla decisione - costituisce, sulla base delle conclusioni del ricorso, l'oggetto della decisione effettivamente impugnata. Secondo questa definizione l'oggetto impugnato e l'oggetto della lite sono identici allorché la decisione amministrativa è impugnata nel suo insieme. Per contro, qualora il ricorso riguardi solo una parte dei rapporti giuridici determinati dalla decisione, i rapporti giuridici non contestati rientrano nella nozione di oggetto impugnato, ma non in quello di oggetto della lite (cfr. STF 8C_784/2016 del 9 marzo 2017 consid. 3.1.; STF 8C_208/2013 del 3 luglio 2013 consid. 2.1.; STF 8C_690/2007 del 27 febbraio 2008 consid. 2.3.1.; DTF 131 V 164 consid. 2.1.; DTF 125 V 413 consid. 1b e 2 = SVR 2001 IV Nr. 27 pag. 83). Nel caso di specie l'oggetto impugnato include le indennità di disoccupazione dei mesi di settembre e ottobre 2016, stabilite espressamente nella decisione su opposizione del 29 novembre 2016, e le indennità di disoccupazione del mese di agosto 2016. La decisione su opposizione del 29 novembre 2016 indica, infatti, chiaramente di riferirsi, tra l’altro, all’opposizione del 16 ottobre 2016 (cfr. doc. A1) con la quale, come visto sopra, l’assicurato ha contestato il conteggio di agosto 2016. La Cassa avrebbe, perciò, dovuto esprimersi esplicitamente anche riguardo all’indennità di disoccupazione di agosto 2016 nella decisione su opposizione del 29 novembre 2016. In ogni caso, alla luce di quanto esposto sopra in merito al concetto di oggetto impugnato, anche tale rapporto giuridico è in concreto parte dell'oggetto impugnato. Visto, poi, che l’insorgente ha inoltrato ricorso contro la decisione su opposizione del 29 novembre 2016 nel suo insieme, l'oggetto della lite coincide con l'oggetto impugnato. In proposito cfr. STCA 42.2016.16 del 5 aprile 2017 consid. 2.1.; STCA 39.2003.18 del 6 dicembre 2004 consid. 2.2. Di conseguenza il TCA entra nel merito del ricorso sia per quanto attiene al diniego d’indennità di disoccupazione per il mese di settembre 2016, e la correttezza dell’importo dell’indennità assegnata al ricorrente per il mese di ottobre 2016, sia in relazione alla correttezza dell’ammontare dell’indennità di disoccupazione riconosciutagli per il mese di agosto 2016.</w:t>
      </w:r>
    </w:p>
    <w:p>
      <w:r>
        <w:rPr>
          <w:b/>
        </w:rPr>
        <w:t>E. 2.3</w:t>
      </w:r>
    </w:p>
    <w:p>
      <w:r>
        <w:t>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nell’ambito di un rapporto di lavoro. Il supplemento è pagato soltanto se durante la disoccupazione all’assicurato non sono versati gli assegni per i figli e per lo stesso figlio non sussiste alcun diritto di una persona che eserciti un'attività lucrativa. Giusta il cpv. 2 della disposizione appena citata, ricevono un’indennità giornaliera pari al 70 per cento del guadagno assicurato gli assicurati che: a    non hanno obblighi di mantenimento nei confronti di figli di età inferiore ai 25 anni; b.   beneficiano di un’indennità giornaliera intera, il cui importo supera i 140 franchi; e c.   non riscuotono una rendita di invalidità corrispondente almeno a un grado di invalidità del 40 per cento. Il Consiglio federale adegua l’aliquota minima di cui al capoverso 2 lettera b di regola ogni due anni all’inizio dell’anno civile, secondo i principi dell’AVS (art. 22 cpv. 3 LADI).</w:t>
      </w:r>
    </w:p>
    <w:p>
      <w:r>
        <w:rPr>
          <w:b/>
        </w:rPr>
        <w:t>E. 2.4</w:t>
      </w:r>
    </w:p>
    <w:p>
      <w:r>
        <w:t>Secondo l’art. 23 cpv. 1 LADI il guadagno assicurato corrisponde al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2.5.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il cui tenore non è stato modificato a far tempo dal 1° aprile 2011,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in DTF 127 V 479; 122 V 433; 120 V 233 seg. e in 8C_721/2010, il Tribunale federale delle assicurazioni (TFA; dal 1° gennaio 2007: Tribunale federale)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w:t>
      </w:r>
    </w:p>
    <w:p>
      <w:r>
        <w:rPr>
          <w:b/>
        </w:rPr>
        <w:t>E. 3</w:t>
      </w:r>
    </w:p>
    <w:p>
      <w:r>
        <w:t>LADI fino a quando non assume, nel periodo di controllo in questione, un'occupazione adeguata ai sensi dell'art. 16 LADI, e segnatamente dell'art. 16 cpv. 1 lett. e LADI.</w:t>
      </w:r>
    </w:p>
    <w:p>
      <w:r>
        <w:t>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w:t>
      </w:r>
    </w:p>
    <w:p>
      <w:r>
        <w:t>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w:t>
      </w:r>
    </w:p>
    <w:p>
      <w:r>
        <w:t>Sul tema cfr. pure STFA C 287/05 del 21 agosto 2006 e C 170/04 del 16 febbraio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