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38.2016.64 vom 22. Juli 2016</w:t>
      </w:r>
    </w:p>
    <w:p>
      <w:r>
        <w:t>TI Tribunale d'appello, 2016-07-22, IT</w:t>
      </w:r>
    </w:p>
    <w:p>
      <w:r>
        <w:rPr>
          <w:b/>
        </w:rPr>
        <w:t xml:space="preserve">Quelle: </w:t>
      </w:r>
      <w:r>
        <w:t>https://mcp.opencaselaw.ch/entscheid/ti_gerichte_38.2016.64_d20160722</w:t>
      </w:r>
    </w:p>
    <w:p>
      <w:r>
        <w:t>FR: TI_GERICHTE 38.2016.64 du 22 juillet 2016</w:t>
      </w:r>
    </w:p>
    <w:p>
      <w:r>
        <w:t>IT: TI_GERICHTE 38.2016.64 del 22 luglio 2016</w:t>
      </w:r>
    </w:p>
    <w:p>
      <w:pPr>
        <w:pStyle w:val="Heading2"/>
      </w:pPr>
      <w:r>
        <w:t>Regeste</w:t>
      </w:r>
    </w:p>
    <w:p>
      <w:r>
        <w:t>A ragione la SdL ha negato dt a ID da 7/16, in quanto l'ass.(svizzero parzialm.senza lavoro: licenziato per il 30.6.16 e riassunto da stesso DL al 50% il 27.6.16) non è residente in CH ai sensi dell'art. 8 cpv. 1 lett. c LADI (centro relaz.di vita in Italia) ed è vero frontaliere</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ad __________ (in provincia di __________), dove ha una casa di sua proprietà e dove vive con la moglie, da quasi 40 anni (e precisamente dal 1979). Significativo è peraltro il fatto che egli ha trasferito il domicilio a __________ dal 1° marzo 2016, verosimilmente dopo avere saputo che non sarebbe più stato occupato a tempo pieno presso la ditta __________ (cfr. la lettera di disdetta del 30 marzo 2016 nella quale si fa riferimento a “quanto discusso verbalmente nelle scorse settimane” e cioè che “la situazione congiunturale sfavorevolmente che costringe ad una riorganizzazione interna”, cfr. doc. 11/1), sebbene sua madre, non autosufficiente, di cui si prende cura con i fratelli e un aiuto domiciliare sia rimasta vedova nel marzo 2015 (doc. doc. 11). A nulla di diverso può portare il fatto che l’assicurato abbia parenti (in particolare i figli maggiorenni) ed amici in Svizzera o che effettui delle attività extra lavorative nel nostro paese. Visto che lui e la moglie hanno scelto di risiedere a meno di due chilo-metri dal confine, e di lavorare in Svizzera, è nella natura delle cose che rimangano in Svizzera dopo il lavoro o che rientrino nel fine settimana per delle serate, delle visite o per delle escursioni. In tale contesto si ricorda peraltro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Ora, sull’ “Analisi del profilo della persona in cerca d’impiego” del 30 giugno 2016 l’assicurato ha affermato di fare rientro settimanalmente a __________ (Italia). Rettamente, dunque, nella decisione su opposizione del 29 settembre 2016 la Sezione del lavoro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(pubblicata in DLA 2016 Nr. 16 pag. 315 seg.)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a casa sua “settimanalmente”. Di conseguenza, dal profilo del diritto internazionale, egli deve essere considerato un frontaliere vero per cui ha diritto alle prestazioni di disoccupazione in Italia. In tale contesto il TCA ricorda che la vecchia giurisprudenza sul vero frontaliere, ma atipico, non è più applicabile (cfr. consid. 2.4. e STF 8C_245/2016 del 19 gennaio 2017 consid. 4.2). Anche da questo profilo dunque va negato a RI 1 il diritto all’indennità di disoccupazione. La decisione su opposizione del 29 settembre 2016 impugnata deve, conseguentemente, essere confermata. 2.6.   A titolo abbondanziale va segnalato che in una sentenza C-655/13 del 5 febbraio 2015 nella causa Mertens, la Corte di giustizia dell’Unione europea (CGUE) ha stabilito che la nozione di lavoratore frontaliero in disoccupazione parziale non esige che il lavoratore continui ad esercitare la propria attività lucrativa nella stessa impresa nella quale lavorava a tempo pieno (per un commento di questa sentenza, cfr. Europe. Actualité du droit de l’Union européenne. Ed. Lexis Nexis, Rivista mensile, aprile 2015, pag. 21). B. Kahil-Wolff, citando questa recente sentenza, sottolinea che “la notion de chômage partiel inclut des situations de travail a temps partiel” (cfr. “La coordination européenne des systemes nationaux de sécurité sociale” in Soziale Sicherheit / Sécurité sociale, Ed Helbing Lichtenhahn 2016 pag. 233 n. 90) e che “à noter qu’une personne qui travaille encore à temps partiel n’est pas au chômage complet et échappe à la règle redoutée” (cfr. “Le Réglement UE 465/2012, la nouvelle Convention Suisse-US et d’autres développements en termes d’assujettissement aux assurances sociales”, in SZS/RSAS 2015, pag. 438 seg. (n. 2 pag. 443)). Come ricordato anche dalla SECO (cfr. consid. 1.5), il Tribunale federale ha stabilito che la nozione di disoccupazione parziale nel contesto del diritto internazionale non corrispondeva in precedenza a quella dell’art. 10 cpv. 2 lett. b LADI bensì a quella di lavoro ridotto secondo gli art. 31 seg. LADI (cfr. DTF 133 V 137 consid. 7.3 pag. 146-147: " Nach Gemeinschaftsrecht bedeutet Vollarbeitslosigkeit einen Erwerbsausfall infolge Auflösung des Arbeitsverhältnisses und Teilarbeitslosigkeit einen vorübergehenden Arbeitsausfall bei andauerndem Arbeitsverhältnis, insbesondere bei Kurzarbeit (IMHOF, a.a.O., S. 53; EICHENHOFE, a.a.O., N. 5 zu Art. 71 der Verordnung Nr. 1408/71).“ La nuova giurisprudenza della Corte di giustizia dell’Unione europea (la quale sebbene riferita al Regolamento (CEE) 1408/71 vale pure nel contesto del Regolamento (CE) 883/2004; cfr. STF 8C_602/2015 del 7 gennaio 2016, consid. 1.3.3.), è ininfluente per la presente vertenza (cfr. per un caso analogo la STCA 38.2015.12 del 5 febbraio 2016). Essa apporta infatti una modifica sostanziale, rispetto all’interpretazione precedente, che potrebbe peraltro avere pesanti effetti finanziari sull’assicurazione contro la disoccupazione per cui non può essere ritenuta vincolante per la Svizzera (cfr. art. 16 cpv. 2 ALC; STF 9C_381/2015 del 17 dicembre 2015 consid. 6.3.3. - 6.5.2.; STF 2C_716/2014 del 26 novembre 2015 consid. 3.1 - 3.2; DTF 133 V 367 consid. 8.2 pag. 373; DTF 132 V 423 consid. 9.2 pag. 437; Borella/Grisanti, “La rilevanza della giurisprudenza della Corte di giustizia delle Comunità europee per il giudice svizzero nell’applicazione dell’Accordo sulla libera circolazione delle persone” in: Corti/Mini/Postizzi [a cura di], Diritto senza devianza, Studi in onore di Marco Borghi, Basilea/Ginevra/Monaco 2006, pag. 205 segg.; J. Racine, “Der Einfluss des Europäischen Gerichtshof auf die Schweiz” in plädoyer 6/15 pag. 41 seg.; M. Oesch, “Der Einfluss des EU-Rechts auf die Schweiz – von Gerichtsdolmetschern, Gerichtsgutachtern und Notaren”, in SJZ 2016 pag. 53 segg. (55-56)). Spetterà al Comitato misto stabilire se e quando tale giurisprudenza verrà semmai in futuro recepita nel nostro paese (cfr. art. 16 cpv. 2 terza frase ALC, Borella/Grisanti, op.cit., pag. 212; B. Kahil-Wolff, op.cit., in SBVR pag. 236 n. 37; DTF 141 V 530 consid. 7.4.3 pag. 544). 2.7.   Il patrocinatore dell’assicurato ha chiesto l’audizione di alcuni testi. Considerato che i documenti già presenti nell’incarto consentono al TCA di emanare il proprio giudizio, questo Tribunale ritiene che l’assunzione delle ulteriori prove richieste non potrebbe mettere in luce nuovi elementi concreti ai fini della risoluzione della vertenza. Di conseguenza la richiesta di audizione del ricorrente deve essere respinta.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9C_737/2012 del 19 marzo 2013;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