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 vom 4. April 2016</w:t>
      </w:r>
    </w:p>
    <w:p>
      <w:r>
        <w:t>TI Tribunale d'appello, 2016-04-04, IT</w:t>
      </w:r>
    </w:p>
    <w:p>
      <w:r>
        <w:rPr>
          <w:b/>
        </w:rPr>
        <w:t xml:space="preserve">Quelle: </w:t>
      </w:r>
      <w:r>
        <w:t>https://mcp.opencaselaw.ch/entscheid/ti_gerichte_38.2016.5</w:t>
      </w:r>
    </w:p>
    <w:p>
      <w:r>
        <w:t>FR: TI_GERICHTE 38.2016.5 du 4 avril 2016</w:t>
      </w:r>
    </w:p>
    <w:p>
      <w:r>
        <w:t>IT: TI_GERICHTE 38.2016.5 del 4 aprile 2016</w:t>
      </w:r>
    </w:p>
    <w:p>
      <w:pPr>
        <w:pStyle w:val="Heading2"/>
      </w:pPr>
      <w:r>
        <w:t>Regeste</w:t>
      </w:r>
    </w:p>
    <w:p>
      <w:r>
        <w:t>Negato ILR.Posticipo lavori di 2 cantieri x modifiche progetti o x ult.ragioni non specificate fa parte del normale rischio aziend.e sono abituali nell'ediliz.Per 3°cantiere,non essendo terminata proc.x otten.lic.ediliz.,lavori non potevano c.que iniziare,indip.da quest.cambio.Norm.rischio aziendale</w:t>
      </w:r>
    </w:p>
    <w:p>
      <w:pPr>
        <w:pStyle w:val="Heading2"/>
      </w:pPr>
      <w:r>
        <w:t>Volltext</w:t>
      </w:r>
    </w:p>
    <w:p>
      <w:r>
        <w:t>Tessin Tribunale cantonale delle assicurazioni 04.04.2016 38.2016.5 Tessin Tribunale cantonale delle assicurazioni 04.04.2016 38.2016.5 Ticino Tribunale cantonale delle assicurazioni 04.04.2016 38.2016.5</w:t>
      </w:r>
    </w:p>
    <w:p>
      <w:r>
        <w:t>Negato ILR.Posticipo lavori di 2 cantieri x modifiche progetti o x ult.ragioni non specificate fa parte del normale rischio aziend.e sono abituali nell'ediliz.Per 3°cantiere,non essendo terminata proc.x otten.lic.ediliz.,lavori non potevano c.que iniziare,indip.da quest.cambio.Norm.rischio aziendale</w:t>
      </w:r>
    </w:p>
    <w:p>
      <w:r>
        <w:t>Raccomandata Incarto n. 38.2016.5 dc / sc Lugano 4 aprile 2016 In nome della Repubblica e Cantone Ticino Il Tribunale cantonale delle assicurazioni composto dei giudici: Daniele Cattaneo, presidente, Raffaele Guffi, Ivano Ranzanici segretario: Gianluca Menghetti statuendo sul ricorso del 25 gennaio 2016 di RI 1 contro la decisione su opposizione dell’11 gennaio 2016 emanata da Sezione del lavoro, 6501 Bellinzona in materia di assicurazione contro la disoccupazione ritenuto, in fatto 1.1.   Il 13 novembre 2015 l’impresa di costruzioni RI 1 ha inoltrato una domanda di lavoro ridotto (perdita di lavoro probabile del 50%) per i 29 dipendenti, nel periodo dal 1° dicembre 2015 al 28 febbraio 2016, facendo valere di avere subito una notevole diminuzione dell’attività lavorativa a causa della crisi economica dovuta soprattutto a quando la Banca Nazionale ha lasciato il cambio fisso. Ciò avrebbe provocato la “riduzione di ordinazioni e lavori che ritenevamo sicuri che non ci sono ancora stati deliberati” (cfr. doc. 2). La ditta ha pure allegato un elenco di lavori acquisiti che hanno subito un ritardo (cfr. doc. 2/2). 1.2.   Con decisione su opposizione dell’11 gennaio 2016, la Sezione del lavoro ha confermato la decisione del 10 dicembre 2015 (cfr. doc. 7) con la quale si era opposta al versamento di indennità per lavoro ridotto, argomentando: " (…) Nel caso che ci occupa, l’interessata, ha posto alla base della richiesta di lavoro ridotto i seguenti motivi: lavori posticipati a causa di modifiche del progetto, posticipi per motivi poco chiari, problemi di commercializzazione dovuti al cambio della valuta (Euro/CHF). Alla luce di quanto esposto ai precedenti considerandi, la perdita di lavoro non presenta un carattere eccezionale ed imprevedibile per i motivi che seguono. In merito ai ritardi dei cantieri dovuti a modifiche dei progetti (__________e __________), come indicato al punto 2, essi sono riconducibili a circostanze regolarmente ritenute non straordinarie e non atte a permettere di considerare computabile il calo di lavoro e questo indipendentemente dal fatto che tali ritardi non sono causati dall’opponente medesima. Alla medesima conclusione si giunge per quanto riguarda i ritardi al __________ per motivi non chiari allo studio tecnico. Inoltre, per il cantiere __________ ad __________, la ditta in parola non può far valere una perdita di lavoro dovuta alle difficoltà di commercializzazione dell’immobile a causa della valuta del cambio, poiché i lavori non potrebbero comunque prendere avvio, considerato che la procedura per l’ottenimento della licenza non è ancora terminata (cfr. lettera dell’interessata 23 novembre 2015, risposta 3.). Questa è la medesima conclusione cui si è giunti per il cantiere al __________, a __________ e per il quale l’interessata ha accolto la motivazione (cfr. opposizione pag. 2).” (Doc. A) 1.3.   Contro la decisione su opposizione l’impresa di costruzioni RI 1 ha inoltrato un tempestivo ricorso al TCA nel quale ha ripreso le motivazioni contenute nell’opposizione e si è così espressa: " (…) Nello specifico precisiamo quanto segue: - __________, lavoro posticipato a seguito di modifiche del progetto. Questi lavori ci sono stati deliberati e quindi pronti ad iniziare l’attività lavorativa ma purtroppo gli stessi sono stati posticipati a seguito di modifiche del progetto. Queste modifiche riteniamo che debbano rientrare nella perdita computabile dovuta a motivi economici ed è inevitabile. Ribadiamo che, da parte nostra eravamo pronti all’inizio dei lavori. - __________, lavoro posticipato per motivi non chiari allo studio tecnico. Anche per questo mandato non possono essere imputate nostre colpe se dopo la decisione di appaltarci il lavoro lo stesso viene posticipato. - __________, lavoro posticipato per problemi di commercializzazione dovuta al cambio della valuta e per motivi tecnici relativi a modifiche del progetto. Anche per questo cantiere e come da voi ben indicato, il lavoro è stato posticipato per problemi di commercializzazione dovuti al cambio della valuta. Teniamo a precisare che i motivi tecnici relativi a modifiche del progetto non influenzavano l’inizio e l’avvio dei lavori. Su questo cantiere purtroppo il committente ha fatto valere, come prima ragione, problema dovuto al cambio della valuta. Accettiamo d’altra parte la vostra indicazione riguardante il lavoro a __________ al Mappale n. __________. Oltre quanto indicato poco sopra ci preme pure indicarvi come ci sembra alquanto riduttiva la vostra indicazione in cui menzionate che nell’edilizia la dilazione delle decisioni di delibera e la diminuzione e il rallentamento delle delibere di opere pubbliche ê stata assimilata alla giurisprudenza federale. Riteniamo che ciò non sia il nostro caso e come già abbiamo indicato la ragione principale è da ricercare nel mancato avvio di lavori su progetti già appaltati e di conseguenza a noi già assegnati.” (…)” (Doc. I) 1.4.   Nella sua risposta dell’8 febbraio 2016 la Sezione del lavoro propone di respingere il ricorso (cfr. doc. III). 1.5.   Il 15 febbraio 2016 la ricorrente, dopo avere richiamato quanto esposto nell’opposizione e nel ricorso, ha affermato: " … ci preme però richiamare come di recente anche il Consiglio Federale ha allungato da 12 a 18 mesi la durata massima per beneficiare delle indennità per lavoro ridotto. Ne consegue che anche quest’ultimo si è accorto delle difficoltà che stanno attraversando le imprese di tutti i rami professionali per la piena occupazione dei propri dipendenti (vedi comunicato stampa del 13.01.2016). Chiediamo unicamente che, nel limite del vostro possibile, il ricorso venga trattato con una certa urgenza in quanto dobbiamo, in caso di rifiuto, riorganizzare la nostra ditta.” (Doc. V) Al riguardo il 26 febbraio 2016 la Sezione del lavoro ha rilevato: " … osserviamo che, benché sia vero che il Consiglio federale ha esteso da 12 a 18 mesi la durata massima dell’indennità per lavoro ridotto, rimane il fatto che i motivi posti alla base della richiesta di riconoscimento delle predette indennità da parte della ricorrente, non sono da ritenere né straordinari e nemmeno imprevedibili (cfr. doc. 10 punto 3).” (Doc. VII) in diritto 2.1.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è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Questa giurisprudenza è stata confermata anche successivamente (cfr. STFA C 8/03 del 4 dicembre 2003; STFA C 248/03 del 19 dicembre 2003). 2.4.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Perdita di lavoro usuale nel ramo, nella professione o nell’azienda D7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nel settore terziario (settore alberghiero, parrucchieri, scuole guida, ecc.) sono in genere usuali e non giustificano una perdita di lavoro computabile. In presenza di circostanze straordinarie, tuttavia, le perdite di lavoro che ne derivano possono dar diritto all'indennità.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ð Giurisprudenza DLA 1996/1997 pag. 214 (Le direttive per la riduzione della produzione di Emmental emanate in base alle istruzioni dell’Ufficio federale dell’agricoltura non giustificano un diritto all’indennità per lavoro ridotto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244/99 del 30.4.2001 (Il rinvio di termini su richiesta del committente o per altre ragioni indipendenti dalla volontà del datore di lavoro incaricato dell’esecuzione dei lavori non costituisce nel settore della costruzione una circostanza straordinaria, per cui la conse-guente perdita di lavoro non è computabile) DTFA C 113/00 del 13.9.2000 (Le difficoltà di pagamento di un cliente, il ritardo del per-messo di costruzione o del finanziamento del progetto sono usuali nel ramo della costru-zione e rientrano nella sfera normale del rischio aziendale) Oscillazioni stagionali del grado di occupazione D11 Una perdita di lavoro non è computabile se è causata da oscillazioni stagionali del grado di occupazione. Tale non è il caso se l’attività dell'azienda è interrotta in modo inusuale in seguito a un calo straordinario della domanda. In questo caso, le perdite di lavoro che risultano inusuali se paragonate a quelle verificatesi negli stessi periodi degli anni precedenti sono in genere computabili. La questione del carattere usuale o stagionale va quindi valutata caso per caso sulla base delle esperienze degli anni precedenti. Le oscillazioni del grado di occupazione sono considerate stagionali se la perdita di lavoro non supera la perdita di lavoro media verificatasi durante gli stessi periodi dei 2 anni precedenti. (…)” In data 27 gennaio 2015 la SECO ha emesso una Direttiva del seguente tenore: " Ai sensi dell’articolo 33 capoverso 1 lettera a LADI, le perdita di lavoro rientranti nella sfera normale del rischio aziendale non sono computabili. Sono considerate «perdite di lavoro riconducibili alla sfera normale del rischio aziendale» le perdita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gli effetti derivanti dalla decisione della Banca nazionale svizzera di abolire la soglia minima di cambio di CHF 1.20 per un euro che aveva permesso di stabilizzazione del franco svizzero rispetto all’euro dal 2011 assumono un carattere straordinario. Di conseguenza le perdite di lavoro che ne conseguono possono essere prese in considerazione per la domanda di lavoro ridotto (IRL). È importante considerare che un caso del fatturato non accompagnato da perdite di lavoro non dà diritto all’IRL. La SECO procederà tempestivamente ad un esame ulteriore della situazione e, se necessario, alla revoca della presente direttiva in caso di stabilizzazione del franco svizzero.” Il 2 marzo 2015 il consigliere nazionale Marco Romano ha interpellato il Consiglio federale in questi termini: " La decisione della Banca nazionale svizzera del 15 gennaio scorso relativa al tasso minimo di cambio franco/euro rappresenta un'imprevista sfida per molti settori economici. Il Consiglio federale ha disposto ai cantoni di autorizzare l'orario ridotto per le aziende che si trovano in difficoltà a causa del tasso di cambio. - Qual è l'evoluzione delle autorizzazioni a livello nazionale? - Quante ne sono state rilasciate complessivamente? - Si notano sostanziali differenze tra cantoni? - La misura è garantita a medio termine?” Il Consiglio federale ha così risposto il 9 marzo 2015: " Grâce à la bonne conjoncture, seules quelques rares entreprises ont demandé une indemnisation pour réduction de l'horaire de travail, ces deux dernières années. Au regard de ce niveau très bas, on note actuellement une progression marquée du nombre de demandes approuvées pour une indemnisation en raison d'une réduction de l'horaire de travail. Tandis qu'en décembre 2014, les autorités cantonales avaient approuvé des demandes d'indemnisation en cas de réduction de l'horaire de travail pour 215 entreprises, ce chiffre est passé à 365 entreprises pour le mois de janvier 2015 et 568 entreprises pour celui de février 2015. Le nombre de travailleurs concernés a lui aussi augmenté: il est passé de 2265 personnes en décembre 2014 à 4970 personnes en janvier 2015, puis à 9165 personnes en février 2015. Dans les préavis de février 2015, les cantons de Zurich et de Berne présentent les chiffres les plus élevés, avec chacun près de 1200 travailleurs concernés. Suivent les cantons du Jura, de Saint-Gall et du Tessin, avec chacun plus de 800 travailleurs touchés. Nous ne possédons pas encore les données relatives aux indemnités effectivement versées pour réduction de l'horaire de travail pour les mois de janvier et février 2015. En principe, les variations monétaires usuelles ne donnent pas droit à une indemnisation pour réduction de l'horaire de travail. La situation actuelle doit toutefois être considérée comme exceptionnelle, raison pour laquelle les pertes de travail en découlant justifient le droit aux indemnités pour réduction de l'horaire de travail. Lorsque la situation se sera stabilisée, les variations monétaires ne justifieront alors plus l'octroi de ces indemnités.”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fattispecie l’impresa di costruzioni RI 1 ha fatto valere due motivi alla base della richiesta di indennità per lavoro ridotto: il posticipo di lavori (__________e __________) e i problemi di commercializzazione dovuti al cambio della valuta, accompagnati da motivi tecnici relativi a modifiche del progetto (__________). Chiamato ora a pronunciarsi il TCA, per quel che concerne i primi due cantieri, non può che confermare la valutazione dell’amministrazione. Infatti, per costante giurisprudenza federale (cfr. consid. 2.3) e secondo le direttive della SECO (cfr. consid. 2.4 in particolare punti D6 e D8) i differimenti di termini dovuti a modifiche dei progetti o per altre ragioni non specificate, fanno parte del normale rischio aziendale e sono abituali nell’edilizia. Esse non sono dunque computabili. Invece, per quel che concerne il cantiere __________ ad __________, agli atti figura uno scritto dell’11 novembre 2015 dell’arch. __________, del seguente tenore: " L’inizio dei lavori summenzionati ha subito una dilazione di circa 3 / 4 mesi per motivi tecnici (fase esecutiva) e problemi di commercializzazione dovuta al tasso di cambio € / CHF.” (Doc. 2/4) Il 23 novembre 2015 l’impresa di costruzioni RI 1 al riguardo ha poi precisato: " (…) Come da lettera dello Studio d’Architettura __________, i motivi sono dovuti alla commercializzazione dovuta al cambio della valuta, mentre i motivi tecnici sono solamente modifiche di progetto, e per questo attualmente non sono in possesso della licenzia edilizia. Tuttavia la lettera in vostro possesso conferma che l’inizio lavori da capomastro subiscono un ritardo per entrambe le cose, ma confermano che i lavori sono stati deliberati alla nostra impresa. Il contratto d’appalto verrà firmato all’inizio lavori con licenzia edilizia. (…)” (Doc. 4) In simili condizioni il TCA condivide la conclusione della Sezione del lavoro secondo cui, non essendo terminata la procedura per l’ottenimento della licenzia edilizia (sulla necessità della licenza edilizia, cfr. art. 1 della legge edilizia cantonale del 13 marzo 1991; sulle varianti cfr. art. 16 LE e M. Lucchini, “Compendio giuridico per l’edilizia”. Ed. Helbing &amp; Lichtenhan, Basilea 2015 pag. 108-113), i lavori non avrebbero comunque potuto iniziare, indipendentemente dalla questione relativa al cambio della valuta. Anche in questo caso si tratta quindi di normale rischio aziendale e quindi di una perdita di lavoro non computabile. Alla luce di quanto appena esposto, la decisione su opposizione dell’11 gennaio 2016 deve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