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38.2016.30 vom 8. September 2016</w:t>
      </w:r>
    </w:p>
    <w:p>
      <w:r>
        <w:t>TI Tribunale d'appello, 2016-09-08, IT</w:t>
      </w:r>
    </w:p>
    <w:p>
      <w:r>
        <w:rPr>
          <w:b/>
        </w:rPr>
        <w:t xml:space="preserve">Quelle: </w:t>
      </w:r>
      <w:r>
        <w:t>https://mcp.opencaselaw.ch/entscheid/ti_gerichte_38.2016.30</w:t>
      </w:r>
    </w:p>
    <w:p>
      <w:r>
        <w:t>FR: TI_GERICHTE 38.2016.30 du 8 septembre 2016</w:t>
      </w:r>
    </w:p>
    <w:p>
      <w:r>
        <w:t>IT: TI_GERICHTE 38.2016.30 del 8 settembre 2016</w:t>
      </w:r>
    </w:p>
    <w:p>
      <w:pPr>
        <w:pStyle w:val="Heading2"/>
      </w:pPr>
      <w:r>
        <w:t>Regeste</w:t>
      </w:r>
    </w:p>
    <w:p>
      <w:r>
        <w:t>A ragione la Cassa ha sospeso x 31gg un assicurato x avere fornito a DL motivo di disdetta.Licenz.con effetto immediato(diverbio e ferim.collega,errore prof.,violaz.norme sicurezza)confermato da TAF. Non decisivo che TAF indicato che DL non rispettato norme procedur.(avvertim.)prima di licenziamento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settembre 2012, il cui ricorso al TF è stato dichiarato inammissibile con sentenza 8C_841/2012 del 3 dicembre 2012; STCA 38.2011.84 del 6 febbraio 2012). Alla luce di tutto quanto esposto, la decisione su opposizione del 15 aprile 2016 deve, quindi, essere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