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38.2015.48 vom 28. September 2015</w:t>
      </w:r>
    </w:p>
    <w:p>
      <w:r>
        <w:t>TI Tribunale d'appello, 2015-09-28, IT</w:t>
      </w:r>
    </w:p>
    <w:p>
      <w:r>
        <w:rPr>
          <w:b/>
        </w:rPr>
        <w:t xml:space="preserve">Quelle: </w:t>
      </w:r>
      <w:r>
        <w:t>https://mcp.opencaselaw.ch/entscheid/ti_gerichte_38.2015.48</w:t>
      </w:r>
    </w:p>
    <w:p>
      <w:r>
        <w:t>FR: TI_GERICHTE 38.2015.48 du 28 septembre 2015</w:t>
      </w:r>
    </w:p>
    <w:p>
      <w:r>
        <w:t>IT: TI_GERICHTE 38.2015.48 del 28 settembre 2015</w:t>
      </w:r>
    </w:p>
    <w:p>
      <w:pPr>
        <w:pStyle w:val="Heading2"/>
      </w:pPr>
      <w:r>
        <w:t>Regeste</w:t>
      </w:r>
    </w:p>
    <w:p>
      <w:r>
        <w:t>Restituz.di assegni per il periodo d'introduzione a causa di disdetta.Motivi econom.menzionati nella lett. di disd.non costituiscono causa grave ex art. 337 CO.La ditta non ha quindi rispettato cond.risolutiva posta al mom.della concess.degli assegni.Decisivo sciogli.c.lav.durante per.d'introduzione</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2.4</w:t>
      </w:r>
    </w:p>
    <w:p>
      <w:r>
        <w:t>In una sentenza pubblicata in DTF 124 V 246 il Tribunale federale delle assicurazioni (TFA; dal 1° gennaio 2007: Tribunale Federale, TF) ha, in particolare, sottolineato quanto segue: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Le problème si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BRÜHWILER, Kommentar Einzelarbeitsvertrag 2ème édition, note 1 ad art. 335b CO). Quant au but des allocations d'initiation au travail, il est de favoriser l'engagement durable de personnes au chômage dont le placement est fortement entravé (ATF 112 V 251 sv. consid. 3b; CATTANEO, Les mesures préventives et de réadaptation de l'assurance-chômage, thèse Genève 1992, n° 780 ss, p. 467). Le droit est subordonné, on l'a vu, à la condition qu'au terme de la période d'initiation, l'assuré puisse escompter un engagement aux conditions usuelles dans la branche et la région, compte tenu, le cas échéant, d'une capacité de travail durablement restreinte (art. 65 let. c LACI). L'autorité cantonale peut exiger que cette condition fasse l'objet d'un contrat écrit (art. 90 al. 3 OACI). Au regard des engagements que l'employeur est ainsi amené à prendre, celui-ci doit pouvoir, sans encourir le remboursement de prestations d'assurance, s'en libérer pendant le temps d'essai, si les rapport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â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(cfr. DTF 124 V 246, consid. 3b, pag. 248-249) In un’altra sentenza del 27 marzo 2000 nella causa D. SA,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Al riguardo l'Alta Corte si è così espressa: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 (cfr. DTF 126 V 42, consid. 2a, pag. 45) Nel caso che era chiamato a giudicare l’Alta Corte ha, in particolare, rilevato: " (…) 3.‑ 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(art. 337 al. 2 CO). D'après la jurisprudence, seul un manquement particulièrement grave du travailleur justifie son licenciement immédiat. Un tel manquement suppose que le travailleur ait violé soit l'une de ses obligations au travail, soit son devoir de fidelité. Si le manquement est moins grave, il ne peut entraîner une résiliation immédiate que s'il a été répété malgré un avertissement (ATF 121 III 472 consid. 4d et les arrêts cités). b) Dans le cas de J., l'employeur a invoqué des griefs d'ordre général ‑ au demeurant contestés par l'intéressée ‑ liés à la qualité du travail fourni. A l'évídence il ne s'agit pas de manquements pouvant justifier une résiliation immédiate. Quant au motif tiré des absences répétées de la travaiIleuse, il ne peut pas être retenu comme un juste motif de résiliation. A l'exception, semble-t-il, d'une brève absence motivée par le décès du frère de l'intéressée, les absences reprochées étaient dues à la maladie, soit un empêchement non fautif de travailler au sens de l'art. 324a al. 1 CO, qui ne saurait iustifier le licenciement immédiat du travailleur (art. 337 al. 3 CO).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(cfr. DTF 126 V 42, consid. 3a, pag. 46-47) In una sentenza 38.2004.65 del 9 marzo 2005 il TCA ha confermato la decisione su opposizione con la quale l'amministrazione ha stabilito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violazioni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Nella già citata DTF 126 V 42, la nostra Massima Istanza ha del resto rilevato che: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 (cfr. DTF 126 V 42, consid. 3a, pag. 47) Di conseguenza la ditta non poteva sciogliere il contratto di lavoro, come invece ha fatto (cfr. doc. 11/H), durante il periodo d’introduzione. Nella più volte citata DTF 126 V 42,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simili condizioni la decisione impugnata deve dunque essere confermata (per un caso analogo cfr. STCA del 27 gennaio 2005 nella causa M. SA, inc. 38.2004.56).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dalla “Decisione relativa agli assegni per il periodo d’introduzione” e dagli accertamenti effettuati dalla Sezione del lavoro Ufficio giuridico (cfr. doc. 11/F e consid. 1.5), è emerso che l’amministrazione ha informato correttamente la ditta ricorrente riguardo alle possibili conseguenze che il licenziamento della signora X durante il periodo d’introduzione avrebbe potuto avere. In particolare alla ditta ricorrente non è mai stato garantito che, in una tale evenienza, non le sarebbe stata chiesta la restituzione degli API così come espressamente previsto nella decisione relativa agli stessi." 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2.5.   In una sentenza 8C_818/2011 del 26 gennaio 2012 il Tribunale federale ha confermato la decisione con la quale è stata chiesta la restituzione degli assegni per il periodo d‘introduzione nel settore della ristorazione ed ha rilevato: " (…) Come ricordato dal primo giudice, nella fattispecie esaminata in DTF 126 V 42 , in cui il riconoscimento degli assegni in questione era stato sottoposto alla condizione risolutiva secondo cui il rapporto di lavoro non doveva venire disdetto, al di fuori del tempo di prova e in assenza di causa grave, durante il periodo di introduzione o nei tre mesi successivi, il Tribunale federale (delle assicurazioni) ha stabilito che se questo presupposto non è realizzato, l'amministrazione può chiedere al datore di lavoro la restituzione degli assegni percepiti, a prescindere dall'adempimento dei requisiti cui è subordinata la revoca di una decisione. La presente fattispecie è analoga a quella trattata in DTF 126 V 42 . Nella decisione di assegnazione degli assegni del 13 luglio 2010 l'Ufficio delle misure attive ha infatti precisato che in caso di disdetta del contratto di lavoro senza motivi gravi (art. 337 cpv. 2 CO) durante il periodo di introduzione (dopo il periodo di prova) e non concordata con l'autorità cantonale, questa poteva richiedere al datore di lavoro il rimborso degli assegni versati. Ora, come giustamente rilevato dalla pronuncia cantonale, la ricorrente ha sciolto il rapporto di lavoro con C.________ prima della fine del periodo di introduzione, invocando motivi economici. La disdetta non è stata concordata con l'amministrazione. Gli argomenti addotti successivamente dalla ricorrente per giustificare il licenziamento (vacanze prolungate in Thailandia, assenza per malattia non comprovata da certificato medico), oltre a essere contestati, non figurano nella lettera di disdetta del rapporto di lavoro del 30 dicembre 2010, dove veniva anzi sottolineato non essere la rescissione del contratto avvenuta per incapacità dell'interessato, ma per sole ragioni economiche. Giusta l'art. 337 cpv. 1 CO il datore di lavoro e il lavoratore possono in ogni tempo recedere immediatamente dal rapporto di lavoro per cause gravi. Per il suo capoverso 2, è considerata causa grave, in particolare, ogni circostanza che non permetta per ragioni di buona fede di esigere da chi dà la disdetta che abbia a continuare nel contratto. A tal proposito, il giudice cantonale ha pertinentemente osservato che motivi economici non configurano una causa grave ai sensi del citato disposto. Di conseguenza, ha concluso l'istanza precedente, non avendo la società insorgente rispettato la condizione risolutiva posta al momento della concessione degli assegni per il periodo d'introduzione, a ragione l'Ufficio delle misure attive ne ha chiesto la restituzione. (…)" Il Tribunale federale è giunto alla stessa conclusione in una sentenza 8C_688/2011 del 9 febbraio 2012 nella quale l'Alta Corte ha rilevato: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Questo Tribunale non vede valido motivo per scostarsi dalla valutazione del primo giudice. Privo di pertinenza ai fini del giudizio è segnatamente l'argomento ricorsuale secondo cui determinante sarebbe nel presente contesto non già il momento in cui la disdetta è stata notificata (1° marzo 2011), bensì quello a partire dal quale la stessa ha esplicato i suoi effetti (30 aprile 2011), data quest'ultima di un mese posteriore alla fine del periodo d'introduzione (31 marzo 2011). Il tenore letterale della suddetta clausola inclusa nella decisione di assegnazione degli assegni è chiara e non lascia spazio a un'interpretazione nel senso inteso dalla ricorrente. Giova inoltre ricordare alla società insorgente che lo scopo dell'erogazione degli assegni non è semplicemente quello di garantire l'impiego al disoccupato per l'intero periodo di introduzione. L'art. 65 LADI stabilisce infatti che agli assicurati difficilmente collocabili possono essere concessi gli assegni in questione se, dopo il periodo d'introduzione, possono contare su un impiego alle condizioni usuali nel ramo e nella regione (lett. c)." 2.6.   Nella presente fattispecie risulta dagli atti che __________ è stato posto al beneficio di assegni per il periodo di introduzione dal 23 settembre 2014 presso la ditta RI 1, attiva nel settore dell'edilizia. Scopo della misura era di introdurre l'assicurato quale aiuto muratore, manovale edile (cfr. doc. 1). Ora, come visto (cfr. consid. 2.4 e 2.5), secondo la costante giurisprudenza federale, dei motivi economici  come quelli che figurano nella lettera di disdetta (cfr. consid. 1.2; le altre ragioni elencate nell’opposizione non sono enumerate in tale lettera) non configurano una causa grave ai sensi dell'art. 337 CO. Di conseguenza, non avendo la ditta RI 1 rispettato la condizione risolutiva posta al momento della concessione degli API, a ragione l'UMA ne ha chiesto la restituzione. La decisione su opposizione impugnata deve pertanto essere confermata. Al riguardo va peraltro sottolineato che, secondo il Tribunale federale, decisivo è lo scioglimento del contratto di lavoro durante il periodo d'introduzione e non la scadenza del periodo di disdetta del contratto dopo la conclusione della stesso (cfr. STF 8C_688/2011 del 9 febbraio 2012 riprodotto al consid. 2.5). Pertanto la decisione impugnata si rivela corretta anche se il licenziamento è avvenuto il 22 marzo 2015 (lettera raccomandata ritirata il 25 marzo 2015 dall’assicurato, cfr. doc. A3), cioè l’ultimo giorno del periodo d’introduzione.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