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38.2014.65 vom 9. November 2010</w:t>
      </w:r>
    </w:p>
    <w:p>
      <w:r>
        <w:t>TI Tribunale d'appello, 2010-11-09, IT</w:t>
      </w:r>
    </w:p>
    <w:p>
      <w:r>
        <w:rPr>
          <w:b/>
        </w:rPr>
        <w:t xml:space="preserve">Quelle: </w:t>
      </w:r>
      <w:r>
        <w:t>https://mcp.opencaselaw.ch/entscheid/ti_gerichte_38.2014.65</w:t>
      </w:r>
    </w:p>
    <w:p>
      <w:r>
        <w:t>FR: TI_GERICHTE 38.2014.65 du 9 novembre 2010</w:t>
      </w:r>
    </w:p>
    <w:p>
      <w:r>
        <w:t>IT: TI_GERICHTE 38.2014.65 del 9 novembre 2010</w:t>
      </w:r>
    </w:p>
    <w:p>
      <w:pPr>
        <w:pStyle w:val="Heading2"/>
      </w:pPr>
      <w:r>
        <w:t>Regeste</w:t>
      </w:r>
    </w:p>
    <w:p>
      <w:r>
        <w:t>Nello scritto a TCA non indicato controparte o dec.su opp.,nemmeno dopo rich.di complem.Dopo STCA di rinvio SdL emesso nel 11/10 nuova dec.di inid.al colloc.da 3/09.Ass.con osserv.chiede ID da'09.TCA ritiene quindi che ass.contestato dec.11/10.Ric.irricevib.Trasm.atti a SdL x pronunc.su opposizione</w:t>
      </w:r>
    </w:p>
    <w:p>
      <w:pPr>
        <w:pStyle w:val="Heading2"/>
      </w:pPr>
      <w:r>
        <w:t>Erwägungen</w:t>
      </w:r>
    </w:p>
    <w:p>
      <w:r>
        <w:rPr>
          <w:b/>
        </w:rPr>
        <w:t>E. 18</w:t>
      </w:r>
    </w:p>
    <w:p>
      <w:r>
        <w:t>gennaio 2000;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In proposito cfr. STCA 38.2013.64 del 4 dicembre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