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38.2014.61 vom 30. November 2016</w:t>
      </w:r>
    </w:p>
    <w:p>
      <w:r>
        <w:t>TI Tribunale d'appello, 2016-11-30, IT</w:t>
      </w:r>
    </w:p>
    <w:p>
      <w:r>
        <w:rPr>
          <w:b/>
        </w:rPr>
        <w:t xml:space="preserve">Quelle: </w:t>
      </w:r>
      <w:r>
        <w:t>https://mcp.opencaselaw.ch/entscheid/ti_gerichte_38.2014.61</w:t>
      </w:r>
    </w:p>
    <w:p>
      <w:r>
        <w:t>FR: TI_GERICHTE 38.2014.61 du 30 novembre 2016</w:t>
      </w:r>
    </w:p>
    <w:p>
      <w:r>
        <w:t>IT: TI_GERICHTE 38.2014.61 del 30 novembre 2016</w:t>
      </w:r>
    </w:p>
    <w:p>
      <w:pPr>
        <w:pStyle w:val="Heading2"/>
      </w:pPr>
      <w:r>
        <w:t>Regeste</w:t>
      </w:r>
    </w:p>
    <w:p>
      <w:r>
        <w:t>Ass.licenziato con effetto immediato. Motivazionoi della disdetta confermate da Pretura e da II CC.TCA ritiene quindi che l'ass. con il suo comportam.,in partic.non rispettando orari di lavoro malgrado numerosi avvertimenti,abbia provocato il suo licenziamento. Sospens.dal dt a ID di 45gg confermata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settembre 2012, il cui ricorso al TF è stato dichiarato inammissibile con sentenza 8C_841/2012 del 3 dicembre 2012; STCA 38.2011.84 del 6 febbraio 2012). Alla luce di tutto quanto esposto, la decisione su opposizione del 7 ottobre 2014 deve, quindi, essere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