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38.2014.41 vom 14. Februar 2014</w:t>
      </w:r>
    </w:p>
    <w:p>
      <w:r>
        <w:t>TI Tribunale d'appello, 2014-02-14, IT</w:t>
      </w:r>
    </w:p>
    <w:p>
      <w:r>
        <w:rPr>
          <w:b/>
        </w:rPr>
        <w:t xml:space="preserve">Quelle: </w:t>
      </w:r>
      <w:r>
        <w:t>https://mcp.opencaselaw.ch/entscheid/ti_gerichte_38.2014.41_d20140214</w:t>
      </w:r>
    </w:p>
    <w:p>
      <w:r>
        <w:t>FR: TI_GERICHTE 38.2014.41 du 14 février 2014</w:t>
      </w:r>
    </w:p>
    <w:p>
      <w:r>
        <w:t>IT: TI_GERICHTE 38.2014.41 del 14 febbraio 2014</w:t>
      </w:r>
    </w:p>
    <w:p>
      <w:pPr>
        <w:pStyle w:val="Heading2"/>
      </w:pPr>
      <w:r>
        <w:t>Regeste</w:t>
      </w:r>
    </w:p>
    <w:p>
      <w:r>
        <w:t>Ricorso spedito l'8/7/2014 contro la dec.su opp. del 2/6/2014(conferma restit.ID),notificata all'ass. il 4/6/2014,irricevibile in quanto tardivo.Non emergono del resto motivi che possano giustificare la restituz.del termine. Atti trasmessi alla Cassa x sottoporre domanda di condono al serv.cantonale</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Nel merito 2.2.   Questa Corte deve verificare la tempestività del ricorso inoltrato dal ricorrente. Secondo l'art. 60 cpv. 1 LPGA, il ricorso deve essere interposto entro 30 giorni dalla notificazione della decisione o della decisione contro cui l'opposizione è esclusa. Secondo il capoverso 2, gli articoli 38-41 sono applicabili per analogia. Giusta 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In DTF 139 V 490 il Tribunale federale ha ricordato che per “Pasqua” (“Ostern“, “Pâques”) ai sensi di queste disposizioni, la giurisprudenza e la dottrina intendono da sempre unicamente la Domenica di Pasqua e non la Domenica e il Lunedì di Pasqua insieme e neppure il periodo che va dal Venerdì Santo al Lunedì di Pasqua incluso.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Se il termine di ricorso è spirato, il giudice non entra nel merito di un ricorso tardivo, per cui la decisione contestata cresce in giudicato (cfr. DTF 110 V 37 consid. 2; Locher, Grundriss des Sozialversicherungsrechts, 2003, § 73 Nr. 9, p. 479). 2.3.   Nella concreta evenienza la decisione su opposizione 2 giugno 2014 (messa alla Posta il 3 giugno 2014) è stata ritirata dall’assicurato il 4 giugno 2014 (cfr. Doc. VII2). Il termine di 30 giorni ha iniziato a decorrere il 5 giugno 2014 ed è scaduto venerdì 4 luglio 2014. Il ricorso è stato spedito, mediante invio raccomandato, soltanto martedì 8 luglio 2014 (cfr. Doc. VII4 e VII5) ed è dunque tardivo. Pure la copia del ricorso trasmessa inizialmente allo scrivente Tribunale per conoscenza reca la stessa data di spedizione. 2.4.   Occorre ora esaminare se il ricorrente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Schultess 2003, N. 4 ad art. 41, p. 417; U. Kieser, Das Verwaltungsverfahren in der Sozialversicherung, Zurigo 1999, p. 170s.; Kölz/Häner, Verwaltungsverfahren und Verwaltungsrechtspflege des Bundes, Zurigo 1998, n. 151).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del 2 luglio 2003 nella causa D., K 34/03). I l TCA constata che, nel ricorso dell’assicurato (cfr. doc. I), non emerge alcun motivo che possa giustificare la restituzione del termine di ricorso. D’altra parte Ramadan Deda non ha formulato nessuna osservazione allo scritto della Cassa del 5 agosto 2014 (cfr. consid. 1.4). Il ricorso è pertanto irricevibile, in quanto tardivo. 2.5.   Secondo l'art. 25 cpv. 1 LPGA la restituzione non deve essere chiesta se l'interessato era in buona fede e verrebbe a trovarsi in gravi difficoltà. L'art. 95 cpv. 3 LADI stabilisce che la Cassa sottopone una domanda di condono, per decisione, al Servizio cantonale. L’art. 4 cpv.4 LPGA prevede che il condono è concesso su domanda scritta. La domanda, motivata e corredata dei necessari giustificativi, deve essere inoltrata entro 30 giorni dal momento in cui la decisione è passata in giudicato. Per costante giurisprudenza federale è possibile pronunciare una decisione di condono solo al momento della crescita in giudicato formale della decisione di restituzione, ritenuto che unicamente in quel caso tale obbligo è stabilito definitivamente (cfr. STF 9C_211/2009 del 26 febbraio 2010; STF 8C_130/2008 dell'11 luglio 2008; STF 8C_617/2009 del 5 novembre 2009; STCA 38.2011.91 del 1° febbraio 2012). In sede ricorsuale l'assicurato ha chiesto il condono di una parte dell’importo facendo valere la propria buona fede ed evidenziando le sue difficoltà economiche (cfr. Doc. I). In simili condizioni gli atti vengono trasmessi alla Cassa affinché sottoponga la domanda di condono al servizio cantonale (sul termine da rispettare per presentare la domanda di condono cfr. STF C 169/05 del 13 aprile 2006 e DTF 132 V 42 nella quale il Tribunale federale ha stabilito che si tratta di una prescrizione d’ordine e non di un termine di perenzione)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