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38.2014.36 vom 18. August 2014</w:t>
      </w:r>
    </w:p>
    <w:p>
      <w:r>
        <w:t>TI Tribunale d'appello, 2014-08-18, IT</w:t>
      </w:r>
    </w:p>
    <w:p>
      <w:r>
        <w:rPr>
          <w:b/>
        </w:rPr>
        <w:t xml:space="preserve">Quelle: </w:t>
      </w:r>
      <w:r>
        <w:t>https://mcp.opencaselaw.ch/entscheid/ti_gerichte_38.2014.36</w:t>
      </w:r>
    </w:p>
    <w:p>
      <w:r>
        <w:t>FR: TI_GERICHTE 38.2014.36 du 18 août 2014</w:t>
      </w:r>
    </w:p>
    <w:p>
      <w:r>
        <w:t>IT: TI_GERICHTE 38.2014.36 del 18 agosto 2014</w:t>
      </w:r>
    </w:p>
    <w:p>
      <w:pPr>
        <w:pStyle w:val="Heading2"/>
      </w:pPr>
      <w:r>
        <w:t>Regeste</w:t>
      </w:r>
    </w:p>
    <w:p>
      <w:r>
        <w:t>Ist.di revis.della STCA con cui conferm.riduz.sosp.da 16 a 10gg(colpa lieve)x aver interrotto un POT e di indennizzo di fr.500x spese respinta.Decreto d'accusa nei confronti di un altro partecip.al POT x les.semplici allegato non giustifica rev. TCA già riconosc.che ass.era stato aggredito da tale P</w:t>
      </w:r>
    </w:p>
    <w:p>
      <w:pPr>
        <w:pStyle w:val="Heading2"/>
      </w:pPr>
      <w:r>
        <w:t>Erwägungen</w:t>
      </w:r>
    </w:p>
    <w:p>
      <w:r>
        <w:rPr>
          <w:b/>
        </w:rPr>
        <w:t>E. 16</w:t>
      </w:r>
    </w:p>
    <w:p>
      <w:r>
        <w:t>gennaio 2008 il Tribunale federale ha così illustrato i principi che stanno alla base della revisione di una sentenza: " 3.2 La nozione di fatti o mezzi di prova nuovi si apprezza allo stesso modo in caso di revisione (processuale) di una decisione amministrativa (art. 53 cpv. 1 LPGA), di revisione di un giudizio cantonale (art. 61 lett. i LPGA) o di revisione di una sentenza fondata sull'art. 137 lett. b OG (cfr. sentenza U 397/05 del 24 gennaio 2007, consid. 4.2 con riferimento). Sono nuovi ai sensi di queste disposizioni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 DTF 121 IV 317 consid. 2 pag. 321; 118 II 199 consid. 5 pag. 204; 110 V 138 consid. 2 pag. 141; 108 V 170 consid. 1 pag. 171; Elisabeth Escher, Revision und Erläuterung, in: Thomas Geiser/Peter Münch [a cura di], Prozessieren vor Bundesgericht, 2a ed., Basilea e Francoforte 1998, n. 8.21; René A. Rhinow/Beat Krähenmann,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gli stessi devono servire a comprovare i fatti nuovi che giustificano la revisione oppure fatti già noti e allegati nel procedimento precedente, che tuttavia non avevano potuto venir provati, a discapito del richiedente (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Come già rilevato dai primi giudici, non costituisce pertanto motivo di revisione il semplice fatto che il tribunale potrebbe aver mal interpretato fatti conosciuti all'epoca del procedimento principale dal momento che la revisione non può determinare la correzione di una decisione apparentemente erronea agli occhi del richiedente. L'apprezzamento inesatto deve, al contrario, essere la conseguenza dell'ignoranza o della carenza di prove riguardanti fatti essenziali per la sentenza ( DTF 127 V 353 consid. 5b pag. 358; 110 V 138 consid. 2 pag. 141, 291 consid. 2a pag. 293; 108 V 170 consid. 1 pag. 171; cfr. pure DTF 118 II 199 consid. 5 pag. 205)." In un'altra sentenza U 247/06 del 30 ottobre 2007, a proposito di un'istanza di revisione fondata sulle risultanze di una perizia medica allestita dopo la prima sentenza, l'Alta Corte si è così espressa: "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le basi della pronunzia impugnata comportavano difetti oggettivi. Per giustificare la revisione di una sentenza non basta che, dalla fattispecie conosciuta al momento dell'emanazione della pronunzia principale, il perito deduca,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 DTF 127 V 353 consid. 5b pag. 358, 110 V 138 consid. 2 pag. 141, 291 consid. 2a pag. 293, 108 V 170 consid. 1 pag. 171; cfr. pure DTF 118 II 199 consid. 5 pag. 205). 4. 4.1 Nel caso di specie si tratta in particolare di esaminare se la perizia della Federazione dei medici svizzeri, redatta il 13 febbraio 2006, è atta a dimostrare fatti nuovi rilevanti, in particolare un nesso di causalità naturale tra i dolori al braccio destro e l'intervento chirurgico del 18 aprile 1995 (soprattutto l'anestesia), e meglio fatti già esistenti all'epoca della procedura precedente, che non erano conosciuti al momento dell'emanazione del precedente giudizio, rispettivamente, che non avevano potuto essere dimostrati. 4.2 Nel corso della precedente procedura l'interessata ha ripetutamente affermato che i due interventi chirurgici eseguiti dopo l'infortunio avevano contribuito a peggiorare il suo stato di salute anziché a migliorarlo. Le Corti giudicanti hanno tuttavia ritenuto non dimostrato tale fatto, fondandosi su un rapporto del dott. B._________, secondo cui la causa dei disturbi lamentati non era oggettivabile (sentenza U 429/00 del 13 marzo 2001). Dal canto suo il perito giudiziario, PD dott. S._________, aveva sostenuto che vi era un nesso di causalità naturale tra i dolori al braccio destro e l'infortunio, rispettivamente tra questi dolori e i successivi interventi. Nell'istanza di revisione l'assicurata ha in particolare addotto che la nuova perizia, allestita per accertare eventuali responsabilità dell'Ospedale F._________ in relazione all'intervento eseguito il 18 aprile 1995, permette di chiarire aspetti sanitari che le conoscenze mediche del 2000 non avevano permesso di acclarare. In effetti i periti hanno affermato che l'anestesia al plesso brachiale avrebbe provocato la lesione periferica di un nervo ulnare ascellare destro e quindi sarebbe all'origine della complessa sindrome dolorosa regionale tipo II (CRPS II), diagnosi che non era stata posta nel 2000, presumibilmente in quanto ancora poco conosciuta. 4.3 Dal canto suo l'INSAI, alla luce di quanto esposto dal dott. B._________, sostiene che non vi sarebbero fatti nuovi rilevanti, ma che si tratterebbe di un diverso apprezzamento delle medesime circostanze, in quanto la lesione del nervo tramite anestesia, fatta valere per la prima volta ben nove anni dopo, non sarebbe provata, mentre la diagnosi posta (CRPS II) esisterebbe da ben oltre dieci anni. 5. 5.1 La giurisprudenza sulla revisione citata al considerando 3 ha segnatamente precisato che il nuovo mezzo di prova deve dimostrare in modo chiaro ("eindeutig") che lo stato di fatto esaminato nella precedente procedura fosse erroneo (cfr. sentenza U 561/06 del 28 maggio 2007, consid. 6.2). Orbene, il Tribunale federale delle assicurazioni si era, all'epoca, scostato dai risultati della perizia medico-giudiziaria del PD dott. S._________ concludendo, con il dott. B._________, per l'assenza di postumi infortunistici, o di un intervento chirurgico, oggettivabili e medicalmente spiegabili. La perizia della Federazione dei medici svizzeri fornisce ora una spiegazione dei disturbi dell'assicurata, che sarebbero riconducibili alla lesione di un nervo verificatasi in seguito all'anestesia. La stessa si basa tuttavia su un inserto medico già conosciuto e su dichiarazioni dell'assicurata fornite 11 anni dopo l'accaduto. In tale misura, le sue conclusioni nient'altro configurano che un nuovo apprezzamento di uno stato di fatto invariato nel suo insieme. La citata perizia non dimostra pertanto in modo evidente ("eindeutig") che lo stato di fatto ritenuto all'epoca fosse erroneo. 5.2 Ne consegue che l'istanza di revisione, infondata, deve essere respinta." Infine, in una sentenza 8F_16/2007 del 17 marzo 2008 il Tribunale federale ha ricordato che: " Entscheidend ist ein Beweismittel, wenn angenommen werden muss, es hätte zu einem andern Urteil geführt, falls das Gericht im Hauptverfahren hievon Kenntnis gehabt hätte. Ausschlaggebend ist, dass das Beweismittel nicht bloss der Sachverhaltswürdigung, sondern der Sachverhaltsermittlung dient. Es genügt daher beispielsweise nicht, dass ein neues Gutachten den Sachverhalt anders bewertet; vielmehr bedarf es neuer Elemente tatsächlicher Natur, welche die Entscheidungsgrundlagen als objektiv mangelhaft erscheinen lassen. Für die Revision eines Entscheides genügt es nicht, dass der Gutachter aus den im Zeitpunkt des Haupturteils bekannten Tatsachen nachträglich andere Schlussfolgerungen zieht als das Gericht. Auch ist ein Revisionsgrund nicht schon gegeben, wenn das Gericht bereits im Hauptverfahren bekannte Tatsachen möglicherweise unrichtig gewürdigt hat. Notwendig ist vielmehr, dass die unrichtige Würdigung erfolgte, weil für den Entscheid wesentliche Tatsachen nicht bekannt waren oder unbewiesen blieben ( BGE 110 V 141 Erw. 2, 293 Erw. 2a, 108 V 171 Erw. 1; vgl. auch BGE 118 II 205 )." 2.3.   Nell'evenienza concreta, chiamato a pronunciarsi sull'istanza di revisione del 12 maggio 2014, il TCA constata che l’assicurato ha allegato un Decreto di accusa del 17 febbraio 2014 con il quale il Ministero pubblico ha posto __________ in stato di accusa dinanzi alle Assise correzionali di __________ in quanto ritenuto colpevole di diversi reati. Fra le infrazioni figura quella di lesioni semplici: " (…) 4.   lesioni semplici per avere, il 6 dicembre 2011 a __________, durante un programma occupazionale, intenzionalmente cagionato un danno in altro modo al corpo od alla salute di una persona, e meglio per avere spintonato RI 1, colpendolo ripetutamente con pugni al viso, provocando a quest’ultimo le lesioni menzionate nel certificato medico del 6 dicembre 2011 del dr. __________, già agli atti; (…)” (doc. A) Questo nuovo mezzo di prova non è atto a giustificare la revisione della sentenza 38.2012.35 del 30 agosto 2012. Come visto (cfr. consid. 1.1.) in quell’occasione il TCA aveva già riconosciuto che l’assicurato era stato aggredito da un altro partecipante al provvedimento relativo al mercato del lavoro senza a sua volta colpirlo. D’altra parte questa Corte aveva anche stabilito che “ il ricorrente prendendo il giornale</w:t>
      </w:r>
    </w:p>
    <w:p>
      <w:r>
        <w:rPr>
          <w:b/>
        </w:rPr>
        <w:t>E. 20</w:t>
      </w:r>
    </w:p>
    <w:p>
      <w:r>
        <w:t>minuti senza chiedere nulla alla persona che l'aveva portato sul posto di lavoro e soprattutto reagendo in un modo non appropriato quando quest'ultimo ha chiesto spiegazioni al riguardo ha contribuito a creare le condizioni per la disputa poi degenerata a seguito dell'atteggiamento violento assunto dall'altro partecipante.</w:t>
      </w:r>
    </w:p>
    <w:p>
      <w:r>
        <w:t>Per questo motivo RI 1 è stato considerato responsabile per la prematura interruzione del provvedimento inerente al mercato del lavoro e sanzionato , sulla base dellart. 30 cpv.1 lett. d LADI, mediante una sospensione per colpa lieve (cfr. consid. 1.1.).</w:t>
      </w:r>
    </w:p>
    <w:p>
      <w:r>
        <w:t>In simili condizioni listanza di revisione e quella di indennizzo di fr. 500.- per le spese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