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38.2013.51 vom 18. Juni 2013</w:t>
      </w:r>
    </w:p>
    <w:p>
      <w:r>
        <w:t>TI Tribunale d'appello, 2013-06-18, IT</w:t>
      </w:r>
    </w:p>
    <w:p>
      <w:r>
        <w:rPr>
          <w:b/>
        </w:rPr>
        <w:t xml:space="preserve">Quelle: </w:t>
      </w:r>
      <w:r>
        <w:t>https://mcp.opencaselaw.ch/entscheid/ti_gerichte_38.2013.51_d20130618</w:t>
      </w:r>
    </w:p>
    <w:p>
      <w:r>
        <w:t>FR: TI_GERICHTE 38.2013.51 du 18 juin 2013</w:t>
      </w:r>
    </w:p>
    <w:p>
      <w:r>
        <w:t>IT: TI_GERICHTE 38.2013.51 del 18 giugno 2013</w:t>
      </w:r>
    </w:p>
    <w:p>
      <w:pPr>
        <w:pStyle w:val="Heading2"/>
      </w:pPr>
      <w:r>
        <w:t>Regeste</w:t>
      </w:r>
    </w:p>
    <w:p>
      <w:r>
        <w:t>Negato diritto a indennità x insolvenza. Oltre a essere impiegato x Sagl, assicurato ne era anche gerente con diritto di firma individuale iscritto a RC. Irrilevante fatto che socio avesse ruolo più importante quale detentore dell'intero capitale sociale e presidente della gerenza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correttamente o meno la Cassa ha negato a RI 1 il diritto all'indennità per insolvenza. L'art. 51 cpv. 1 LADI prevede che: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decisione del 21 maggio 1997, pubblicata in SVR 1997 ALV Nr. 107, ha, tra l’altro, affermato che la giurisprudenza emanata relativamente all’art. 31 cpv. 3 lett. c LADI è applicabile pure al diritto all’indennità per insolvenza di cui all’art. 51 LADI. 2.3.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 62, Gerhards, “Kommentar...” Vol. I, pag. 408 no. 43; Beatrice Brügger, Die Kurzarbeitsentschädigung als arbeitslosenversicherungsrechtliche Präventivmassnahme, Berna 1993, p. 37). In una sentenza del 9 marzo 1987, pubblicata in DTF 113 V 74, il TFA (dal 1° gennaio 2007: tribunale federale, TF) ha avuto modo di precisare che, contrariamente alla giurisprudenza relativa al vecchio art. 31 cpv. 1 lett. c OADI, si deve riconoscere che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ad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Questa giurisprudenza è stata confermata in una sentenza 8C_279/2010 del 8 giugno 2010 nella quale il Tribunale federale ha sviluppato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Al riguardo cfr. pure STF 8C_84/2008 del 3 marzo 2009, pubblicata in DLA 2009 N. 9 pag. 177. Secondo la giurisprudenza federale, la posizione di socio gerente di una Sagl è equiparabile a quella di un membro del consiglio di amministrazione di una SA (cfr. STFA C 270/04 del 4 luglio 2005; STFA C 37/02 del 22 novembre 2002 e STFA C 71/01 del 30 agosto 2001) e lo è pure quella di amministratore di una cooperativa (cfr. STF 8C-171/2012 dell’11 aprile 2013). Il Tribunale federale è giunto alla medesima conclusione pure per quel che riguarda i membri della direzione di un’associazione. In una sentenza 8C_515 /2007 dell’ 8 aprile 2008 la nostra Massima istanza si è ad esempio così espressa: " 3.2 Le point de vue des premiers juges est bien fondé. L'art. 69 CC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(Anton Heini/Urs Scherrer, in : Basler Kommentar, ZGB I, n. 17 ad art. 69).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 comme le voudrait le recourant - les responsabilités qu'ils exercent au sein de l'association. 3.3 Le recourant allègue toutefois que son inscription au registre du commerce en qualité de vice-président du comité de l'association est encore nécessaire aux fins de faire valoir ses droits de salarié. Selon lui, la radiation de son inscription aurait pour effet d'entraîner la dissolution immédiate de l'association - qui ne compte que deux membres - et, partant, la radiation de la procédure en recouvrement de salaire qu'il a introduite devant le Tribunal d'arrondissement de la Côte. Ce point de vue est mal fondé. Selon l'art. 58 CC, applicable à la liquidation des associations (Anton Heini/Urs Scherrer, op. cit., n. 2 ad art. 79), les biens des personnes morales sont liquidés en conformité des règles applicables aux sociétés coopératives. De son côté la réglementation relative à la société coopérative renvoie (art. 913 al. 1 CO) aux dispositions sur la dissolution des sociétés anonymes (art. 736 ss CO). Selon l'art. 739 al. 1 CO, aussi longtemps que la répartition entre actionnaires n'est pas terminée - ce qui suppose notamment le paiement des dettes de la société (art. 745 al. 1 CO), après un appel aux créanciers (art. 742 al. 2 CO), la société en liquidation garde sa personnalité et conserve sa raison sociale, à laquelle s'ajoutent les mots "en liquidation". Cela étant, même si le recourant perdait non seulement sa qualité de membre de la direction, mais encore celle de membre de l'association, il n'y a pas de risque que celle-ci perde la personnalité juridique tant que les créanciers n'ont pas été invités à faire valoir leur créance et, partant, que s'éteigne sa qualité de défenderesse au procès en recouvrement de salaire intenté par le recourant (voir aussi Jean-François Perrin, Droit de l'association, 2004, p. 218 sv.)." 2.4.   In una sentenza 38.2012.78 del 13 maggio 2013 il TCA ha negato il diritto all'indennità per insolvenza ad un assicurato,  iscritto a Registro di commercio quale socio e gerente con diritto di firma individuale, che deteneva una quota di fr. 110'000.-- su un capitale sociale di fr. 130'000.--, argomentando: " (…) Di conseguenza, alla luce della giurisprudenza federale riprodotta al consid. 2.3., egli non può beneficiare dell’indennità per insolvenza. Secondo l'Alta Corte sono infatti decisivi gli oneri (obblighi e prerogative) che spettano ex lege a un socio e gerente di una Sagl, la cui posizione è equiparabile a quella di un membro del consiglio di amministrazione di una SA, al quale il diritto a prestazioni va negato senza che sia necessario determinare più concretamente le responsabilità da lui esercitate in seno alla società (cfr. consid. 2.3. e, in un altro contesto, la STFA H 66/96 del 30 dicembre 1997, a proposito della responsabilità secondo l’art. 52 LAVS di un operaio entrato in un consiglio di amministrazione e la STFA H 218+219/97 del 29 settembre 1998 relativa ad un architetto membro del consiglio di amministrazione). Il fatto che l’assicurato abbia addotto che la sua partecipazione finanziaria nella Sagl, come pure il suo ruolo di socio e gerente siano soltanto a titolo fiduciario (cfr. doc. I; consid. 1.2.), non è atto a sovvertire l’esito della presente vertenza. (…) Pertanto, indipendentemente dalla circostanza che la partecipazione finanziaria dell’assicurato nella Sagl sembra effettivamente aver avuto luogo tramite il denaro affidatogli da _____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 dal profilo della gestione della società l’insorgente risulta rivestire funzioni di socio e gerente come da iscrizione a RC senza riserve o limitazioni, come peraltro già deciso da questa Corte con sentenza 38.2012.69 del 9 gennaio 2013 passata in giudicato incontestata, con cui è stato confermato nei confronti dell’assicurato il diniego del diritto a indennità di disoccupazione a far tempo dal mese di settembre 2012 a causa della sua posizione analoga a quella di un datore di lavoro all’interno della ______.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E’, infine, utile evidenziare che l’Alta Corte, con sentenza C 224/06 del 3 ottobre 2007, ha accolto un ricorso della SECO inoltrato contro il giudizio del Tribunale amministrativo del Canton Vaud che aveva annullato la decisione su opposizione con cui la Cassa aveva negato a un’assicurata il diritto a indennità per insolvenza a causa del suo ruolo di membro del consiglio di amministrazione della SA, sua ultima datrice di lavoro. La nostra Massima Istanza ha stabilito che la richiesta di indennità per insolvenza dell’assicurata andava rifiutata, poiché, contrariamente a quanto deciso dal Tribunale cantonale (quest’ultimo aveva considerato che l’assicurata non godesse di un reale potere decisionale in seno alla SA, siccome dominata da un investitore che era il vero avente diritto economico e proprietario delle azioni, mentre la stessa possedeva una sola azione nominativa di fr. 1'000 a titolo fiduciario e disponeva unicamente della firma collettiva a due), nel caso di un membro del consiglio di amministrazione che dispone ex lege di un potere determinante - come nel caso di un socio gerente di una Sagl (cfr. consid. 2.3.) - non è necessario esaminare oltre l’effettiva estensione del suo potere decisionale. (…)" 2.5.   Nella presente fattispecie dagli atti dell'incarto emerge che l'assicurato, impiegato come decoratore su porcellana presso la __________ dall'11 dicembre 2009 al 10 aprile 2013 (cfr. doc. 10 e doc. 17) è stato iscritto a Registro di commercio quale gerente con diritto di firma individuale, mentre __________ è stato iscritto come socio e detentore dell'intero capitale sociale di fr. 20'000.-- e presidente della gerenza con diritto di firma individuale (cfr. doc. 8 e doc. 6). Alla luce della giurisprudenza federale e cantonale riprodotta ai considerandi precedenti (cfr. consid. 2.4. e 2.5.) questo Tribunale non può che confermare la decisione della Cassa vista la funzione di gerente della Sagl avuta da RI 1 e ciò indipendentemente dal ruolo più importante assunto dal socio e presidente della gerenza. Secondo l'Alta Corte sono infatti decisivi gli obblighi e i diritti che spettano ex lege al gerente di una Sagl la cui posizione è equiparabile a quella di un membro del consiglio di amministrazione di una SA. In questo caso il diritto a prestazioni va negato senza che sia necessario determinare più concretamente le responsabilità da lui esercitate in seno alla società (cfr. consid. 2.3. e, in un altro contesto, la STFA H 66/96 del 30 dicembre 1997, a proposito della responsabilità secondo l’art. 52 LAVS di un operaio entrato in un consiglio di amministrazione e la STFA H 218+219/97 del 29 settembre 1998 relativa ad un architetto membro del consiglio di amministrazione). La decisione su opposizione 24 luglio 2013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