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38.2012.74 vom 28. März 2013</w:t>
      </w:r>
    </w:p>
    <w:p>
      <w:r>
        <w:t>TI Tribunale d'appello, 2013-03-28, IT</w:t>
      </w:r>
    </w:p>
    <w:p>
      <w:r>
        <w:rPr>
          <w:b/>
        </w:rPr>
        <w:t xml:space="preserve">Quelle: </w:t>
      </w:r>
      <w:r>
        <w:t>https://mcp.opencaselaw.ch/entscheid/ti_gerichte_38.2012.74</w:t>
      </w:r>
    </w:p>
    <w:p>
      <w:r>
        <w:t>FR: TI_GERICHTE 38.2012.74 du 28 mars 2013</w:t>
      </w:r>
    </w:p>
    <w:p>
      <w:r>
        <w:t>IT: TI_GERICHTE 38.2012.74 del 28 marzo 2013</w:t>
      </w:r>
    </w:p>
    <w:p>
      <w:pPr>
        <w:pStyle w:val="Heading2"/>
      </w:pPr>
      <w:r>
        <w:t>Regeste</w:t>
      </w:r>
    </w:p>
    <w:p>
      <w:r>
        <w:t>Rettam.UMA chiesto a una ditta la restit.di assegni x il periodo di introduz., poiché il c.di lavoro è stato disdetto prima della fine del periodo di introd.di 6 mesi senza gravi motivi.Motivi econom.non configurano una causa grave ex art.337CO.DL nemmeno contattato UMA prima di intimare la disdetta</w:t>
      </w:r>
    </w:p>
    <w:p>
      <w:pPr>
        <w:pStyle w:val="Heading2"/>
      </w:pPr>
      <w:r>
        <w:t>Erwägungen</w:t>
      </w:r>
    </w:p>
    <w:p>
      <w:r>
        <w:rPr>
          <w:b/>
        </w:rPr>
        <w:t>E. 1</w:t>
      </w:r>
    </w:p>
    <w:p>
      <w:r>
        <w:t>L’assicurazione fornisce prestazioni finanziarie per provvedimenti inerenti al mercato del lavoro a favore di assicurati e di persone minacciate dalla disoccupazione.</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2.5</w:t>
      </w:r>
    </w:p>
    <w:p>
      <w:r>
        <w:t>In una sentenza pubblicata in DTF 124 V 246 il Tribunale federale delle assicurazioni (TFA; dal 1° gennaio 2007: Tribunale Federale, TF) ha, in particolare,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Le problème si pose de manière différente en cas de résiliation pendant le temps d'essai. Dans cette éventualité, la suppression des prestations n'aura en principe pas d'effet rétroactif. Le temps d'essai doit en effet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(BRUNNER/BÜHLER/WAEBER, Commentaire du contrat de travail, 2ème édition, note 1 ad art. 335b CO; BRÜHWILER, Kommentar Einzelarbeitsvertrag 2ème édition, note 1 ad art. 335b CO). Quant au but des allocations d'initiation au travail, il est de favoriser l'engagement durable de personnes au chômage dont le placement est fortement entravé (ATF 112 V 251 sv. consid. 3b; CATTANEO, Les mesures préventives et de réadaptation de l'assurance-chômage, thèse Genève 1992, n° 780 ss, p. 467). Le droit est subordonné, on l'a vu, à la condition qu'au terme de la période d'initiation, l'assuré puisse escompter un engagement aux conditions usuelles dans la branche et la région, compte tenu, le cas échéant, d'une capacité de travail durablement restreinte (art. 65 let. c LACI). L'autorité cantonale peut exiger que cette condition fasse l'objet d'un contrat écrit (art. 90 al. 3 OACI). Au regard des engagements que l'employeur est ainsi amené à prendre, celui-ci doit pouvoir, sans encourir le remboursement de prestations d'assurance, s'en libérer pendant le temps d'essai, si les rapport contractuels noués entre les parties ne répondent pas à son attente (dans ce sens: FREIBURGHAUS, ibidem). Dans le même ordre d'idées, on peut relever que la jurisprudence tient aussi compte du but du temps d'essai, dans le sens d'une atténuation de la faute, quand il s'agit de décider si le droit d'un assuré â l'indemnité de chômage doit être suspendu, lorsque ce dernier a lui-même résilié le contrat de travail pendant le temps d'essai, sans avoir été préalablement assuré d'obtenir un autre emploi (arrêt non publié C. du 5 décembre 1995). Tout au plus faut-il réserver, en l'espèce, le cas où l'employeur a agi avec légèreté ou de manière abusive, notamment en concluant le contrat avec l'intention dissimulée de mettre fin rapidement aux rapports de travail (cf. GERHARDS, Kommentar zum Arbeitslosenversicherungsgesetz [AVIG], vol. II, note 30 ad art. 65-67 LACI). (…)." (cfr. DTF 124 V 246, consid. 3b, pag. 248-249) In un’altra sentenza del 27 marzo 2000 nella causa D. SA,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Al riguardo l'Alta Corte si è così espressa: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 ATF 112 V 251 sv. consid. 3b; THOMAS NUSSBAUMER, Arbeitslosenversicherung, in : Schweizerisches Bundesverwaltungsrecht [SBVR], Soziale Sicherheit, ch. 583; DANIELE CATTANEO, Les mesures préventives et de réadaptation de l'assurance-chômage, thèse Genève 1992, no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 ATF 124 V 246 ). (…)." (cfr. DTF 126 V 42, consid. 2a, pag. 45) Nel caso che era chiamato a giudicare ha, in particolare, sottolineato quanto segue: " (…) 3.‑ a) En l'espèce, les deux contrats de travail en cause ont été résiliés par l'employeur (en dehors du temps d'essai) avant l'expiration du délai de trois mois suivant la fin de la période d'initiation, fixé par l'office régional de placement dans ses décisions. Il s'agit donc de savoir si l'employeur peut se prévaloir de justes motifs. Sont notamment considérées comme de justes motifs toutes les circonstances qui, selon les règles de la bonne foi, ne permettent pas d'exiger de celui qui a donné le congé la continuation des rapports de travail (art. 337 al. 2 CO). D'après la jurisprudence, seul un manquement particulièrement grave du travailleur justifie son licenciement immédiat. Un tel manquement suppose que le travailleur ait violé soit l'une de ses obligations au travail, soit son devoir de fidelité. Si le manquement est moins grave, il ne peut entraîner une résiliation immédiate que s'il a été répété malgré un avertissement (ATF 121 III 472 consid. 4d et les arrêts cités). b) Dans le cas de J., l'employeur a invoqué des griefs d'ordre général ‑ au demeurant contestés par l'intéressée ‑ liés à la qualité du travail fourni. A l'évídence il ne s'agit pas de manquements pouvant justifier une résiliation immédiate. Quant au motif tiré des absences répétées de la travaiIleuse, il ne peut pas être retenu comme un juste motif de résiliation. A l'exception, semble-t-il, d'une brève absence motivée par le décès du frère de l'intéressée, les absences reprochées étaient dues à la maladie, soit un empêchement non fautif de travailler au sens de l'art. 324a al. 1 CO, qui ne saurait iustifier le licenciement immédiat du travailleur (art. 337 al. 3 CO).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(cfr. DTF 126 V 42, consid. 3a, pag. 46-47) In una sentenza 38.2004.65 del 9 marzo 2005 il TCA ha confermato la decisione su opposizione con la quale l'amministrazione ha stabilito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violazioni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Nella già citata DTF 126 V 42, la nostra Massima Istanza ha del resto rilevato che: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 (cfr. DTF 126 V 42, consid. 3a, pag. 47) Di conseguenza la ditta non poteva sciogliere il contratto di lavoro, come invece ha fatto (cfr. doc. 11/H), durante il periodo d’introduzione. Nella più volte citata DTF 126 V 42, il TFA, in un caso in cui il riconoscimento del diritto agli assegni per il periodo di introduzione era stato sottoposto alla condizione risolutiva secondo cui il rapporto di lavoro non doveva venire disdetto (al di fuori del tempo di prova e in assenza di causa grave),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simili condizioni la decisione impugnata deve dunque essere confermata (per un caso analogo cfr. STCA del 27 gennaio 2005 nella causa M. SA, inc. 38.2004.56). Il diritto alla protezione della buona fede di cui all'art. 9 Cost. fed. - che permette al cittadino di esigere che l'autorità rispetti le proprie promesse e che essa eviti di contraddirsi - è garantito e impone all'autorità di discostarsi dal principio della legalità, allorché essa, intervenendo in una situazione concreta nei confronti di persone determinate, era competente a rilasciarle, il cittadino non poteva riconoscerne l'inesattezza e, sempre che l'ordinamento legale non sia mutato nel frattempo, fidente nelle informazione ricevute egli abbia preso delle disposizioni non reversibili senza pregiudizio (cfr. STFA del 28 gennaio 2004 nella causa Arbeitslosenkasse der Gewerkschaft Bau &amp; Industrie GBI c/ A., C 218/03, consid. 2; STFA del 29 agosto 2002 nella causa Amt für Arbeit St. Gallen c/ S., C 25/02; STFA del 22 agosto 2000 nella causa B., C 116/00;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 caso concreto, dalla “Decisione relativa agli assegni per il periodo d’introduzione” e dagli accertamenti effettuati dalla Sezione del lavoro Ufficio giuridico (cfr. doc. 11/F e consid. 1.5), è emerso che l’amministrazione ha informato correttamente la ditta ricorrente riguardo alle possibili conseguenze che il licenziamento della signora X durante il periodo d’introduzione avrebbe potuto avere. In particolare alla ditta ricorrente non è mai stato garantito che, in una tale evenienza, non le sarebbe stata chiesta la restituzione degli API così come espressamente previsto nella decisione relativa agli stessi." In una sentenza C 332/99 del 17 aprile 2000, il TFA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(recte: il collocamento)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 nostra Massima Istanza ha così rifiutato il riconoscimento dal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(cfr. STFA C 322/99 del 17 aprile 2000) 2.6.   In una sentenza 8C_818/2011 del 26 gennaio 2012 i l Tribunale federale ha confermato la decisione con la quale è stata chiesta la restituzione degli assegni per il periodo d‘ introduzione nel settore della ristorazione ed ha rilevato: " (…) Come ricordato dal primo giudice, nella fattispecie esaminata in DTF 126 V 42 , in cui il riconoscimento degli assegni in questione era stato sottoposto alla condizione risolutiva secondo cui il rapporto di lavoro non doveva venire disdetto, al di fuori del tempo di prova e in assenza di causa grave, durante il periodo di introduzione o nei tre mesi successivi, il Tribunale federale (delle assicurazioni) ha stabilito che se questo presupposto non è realizzato, l'amministrazione può chiedere al datore di lavoro la restituzione degli assegni percepiti, a prescindere dall'adempimento dei requisiti cui è subordinata la revoca di una decisione.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2.7.   Nella presente fattispecie risulta dagli atti che l'assicurata è stata posta al beneficio di assegni per il periodo di introduzione dal 1° gennaio 2012 presso la ditta RI 1, attiva nel settore della vendita e installazione di corpi riscaldanti a infrarossi, ecc. Scopo della misura era di introdurre l'assicurata, impiegata di commercio, sugli aspetti tecnici relativi ai prodotti e alla loro installazione (cfr. Doc. A01-A03 ). L'azienda ha disdetto il rapporto di lavoro, prima della conclusione del periodo di introduzione, invocando una motivazione di carattere economico (cfr. Doc. A05 e, soprattutto, Doc. A06: "… Rispetto allo scorso anno, la mole di lavoro e di offerte ha subìto una drastica diminuzione, che in gran parte è da attribuire alla casa madre "__________" che avendo sostituito il direttore lo scorso anno e non essendo più in prima linea in vari ambiti (internet, prezzi, ecc.) ha perso molto terreno rispetto alle concorrenze".). Inoltre il datore di lavoro, contrariamente alle indicazioni che figuravano sulla decisione con la quale è stato concesso il diritto agli assegni (cfr. consid. 1.1) non ha contattato l’UMA prima di intimare il licenziamento all’assicurata (cfr. Doc. A09 e A10). Ora, come visto (cfr. consid. 2.6), secondo la costante giurisprudenza federale, dei motivi economici non configurano una causa grave ai sensi dell'art. 337 CO. Di conseguenza, non avendo la ditta RI 1 rispettato la condizione risolutiva posta al momento della concessione degli API, a ragione l'UMA ne ha chiesto la restituzione. La decisione su opposizione impugnata deve pertanto essere confermata.</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w:t>
      </w:r>
    </w:p>
    <w:p>
      <w:r>
        <w:rPr>
          <w:b/>
        </w:rPr>
        <w:t>E. 4</w:t>
      </w:r>
    </w:p>
    <w:p>
      <w:r>
        <w:t>I servizi competenti collaborano con gli organi dell’assicurazione invalidità nella reintegrazione dei disoccupati invalidi." All'art. 59 cpv. 2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STFA del 10 dicembre 2004 nella causa F., C 209/04, consid. 2; le STFA del 5 agosto 2003 nelle cause A., C 200/02 e A., C 201/02, consid. 1, la giurisprudenza ivi citata e il Messaggio del Consiglio federale concernente una nuova legge federale sull'assicurazione obbligatoria contro la disoccupazione e l'indennità per insolvenza del 2 luglio 1980; FF 1980 III 469 segg.). 2.4.   In particolare, quale provvedimento speciale, agli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L'OADI, al cpv. 1 dell'art. 90, definisce così la nozione di "assicurato difficilmente collocabile": " 1 Un assicurato è considerato difficilmente collocabile se, tenuto conto della situazione del mercato del lavoro, ha difficoltà particolarmente gravi per trovarsi un impiego poiché: a.   è in età avanzata; b.   è impedito fisicamente, psichicamente o mentalmente; c.   ha cattivi precedenti professionali; d.   ha già riscosso 150 indennità giornaliere." Gli assegni di introduzione coprono la differenza tra il salario effettivo e il salario normale che l'assicurato può pretendere al termine del periodo di introduzione, tenuto conto della sua capacità lavorativa, ma al massimo il 60 % del salario normale (art. 66 cpv. 1 LADI). La legge pone dunque una serie di condizioni affinché possano essere concessi gli assegni dell'art. 65 LADI (cfr. D. Cattaneo, "Les mesures préventives et de réadaptation de l'assurance-chômage", Basilea e Francoforte sul Meno 1992, p. 467 e seg.). Innanzitutto deve trattarsi di assicurati difficilmente collocabili (prima condizione). Poi, deve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Secondo l'art. 66 cpv. 2 LADI, durante il termine quadro, gli assegni di introduzione sono pagati per sei mesi al massimo; in casi eccezionali, soprattutto per disoccupati in una certa età, per dodici mesi al massimo. Il Consiglio federale disciplina i particolari. Secondo l'art. 90 cpv. 1 bis OADI gli assegni per il periodo di introduzione possono essere versati per un periodo di dodici mesi al massimo se, in base alla situazione personale dell'assicurato, si deve dedurre che lo scopo dell'introduzione al lavoro non possa essere raggiunto in sei mesi. Su queste disposizioni, cfr. D. Cattaneo, op. cit., pag. 131 no. 167 e pag. 478 no. 804; G. Gerhards, "Kommentar zum Arbeitslosenversicherungsgesetz", Volume III, Berna-Stoccarda-Vienna 1993, pag. 1306-1307, nos. 8-9 e Th. Nussbaumer, Arbeitslosenversicherung, in: Schweizerisches Bundesverwaltungsrecht [SBVR], Soziale Sicherheit. Ed. Helbing &amp; Lichtenhahn, Basilea-Ginevra-Monaco 2007, il quale rileva in particolare che: " Definitive Zusage: Die Versicherte Person muss schliesslich nach der Einarbeitung mit einer Anstellung zu orts- und brachenüblichen Bedingungen, allenfalls unter Berücksichtigung einer dauernd verminderten Leistungsfähigkeit, rechnen können. Entgegen dem Gesetzeswortlaut und um die dauerhafte Eingliederung nicht illusorisch werden zu lassen, ist hier definitive Zusage für die Einstellung nach Abschluss der Einarbeitungsphase zu fordern, und zwar in Form eines unbefristeten Arbeitsverhältnisses. Zu Recht räumt Art. 90 Abs. 3 AVIV daher der kantonalen Amtsstelle die Befugnis ein, eine schriftliche Anstellungszusage zu verlangen. Diese ändert aber nichts daran, dass der Arbeitgeber das Arbeitsverhältnis während der Einarbeitungszeit auflösen kann. Sofern en hiefür keine plausiblen Gründe vorbringen kann oder damit gegen Bedingungen der schriftlichen Vereinbarung (art. 90 Abs. 3 AVIV) verstösst, ist er als Leistungsempfänger rückerstattungspflichtig." (N° 737 pag. 2400-2401)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