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38.2012.47 vom 3. Oktober 2013</w:t>
      </w:r>
    </w:p>
    <w:p>
      <w:r>
        <w:t>TI Tribunale d'appello, 2013-10-03, IT</w:t>
      </w:r>
    </w:p>
    <w:p>
      <w:r>
        <w:rPr>
          <w:b/>
        </w:rPr>
        <w:t xml:space="preserve">Quelle: </w:t>
      </w:r>
      <w:r>
        <w:t>https://mcp.opencaselaw.ch/entscheid/ti_gerichte_38.2012.47</w:t>
      </w:r>
    </w:p>
    <w:p>
      <w:r>
        <w:t>FR: TI_GERICHTE 38.2012.47 du 3 octobre 2013</w:t>
      </w:r>
    </w:p>
    <w:p>
      <w:r>
        <w:t>IT: TI_GERICHTE 38.2012.47 del 3 ottobre 2013</w:t>
      </w:r>
    </w:p>
    <w:p>
      <w:pPr>
        <w:pStyle w:val="Heading2"/>
      </w:pPr>
      <w:r>
        <w:t>Regeste</w:t>
      </w:r>
    </w:p>
    <w:p>
      <w:r>
        <w:t>Restit.ID 2+3/12.Nel calcolo delle ID spec.ex art.71a segg.LADI non computato GI conseguito dall'ass.Inoltre le ind.x vacanza vanno aggiunte al GI x i mesi in cui ass.effett.beneficia di vacanze.In casu 2/12 14gg vacanza,ma Cassa non aveva tenuto conto.Ev.violaz.27 LPGA non suff.Non ademp.condiz. BF</w:t>
      </w:r>
    </w:p>
    <w:p>
      <w:pPr>
        <w:pStyle w:val="Heading2"/>
      </w:pPr>
      <w:r>
        <w:t>Erwägungen</w:t>
      </w:r>
    </w:p>
    <w:p>
      <w:r>
        <w:rPr>
          <w:b/>
        </w:rPr>
        <w:t>E. 2</w:t>
      </w:r>
    </w:p>
    <w:p>
      <w:r>
        <w:t>novembre 2012 consid. 2.3.). Secondo la giurisprudenza del Tribunale federale, confermata in DTF 122 V 54s.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 richieste di sopralluogo, non bastano per creare un simile obbligo (cfr.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Nella concreta evenienza - contrariamente a quanto esige la giurisprudenza federale -, il ricorrente non ha formulato un'esplicita richiesta di indire un pubblico dibattimento, né una richiesta di audizione al fine di esporre il proprio punto di vista sulle risultanze probatorie, ma ha semplicemente dichiarato che vorrebbe esporre le sue motivazioni anche di persona (cfr. doc. I). Del resto, la documentazione già presente all’inserto consente al TCA di emanare il proprio giudizio, di modo che l’audizione dello stesso si rivela superflua. 2.15.   Alla luce di tutto quanto esposto, il TCA ritiene che a giusta ragione la Cassa ha ordinato al ricorrente la restituzione degli importi di fr. 1'295.10 e di fr. 2'285.10, corrispondenti a parte delle indennità di disoccupazione versategli nel mese di febbraio 2012, rispettivamente nel mese di marzo 2012. La decisione su opposizione impugnata deve, conseguentemente, essere confermata. 2.16.   RI 1 nel ricorso ha postulato, in via sussidiaria, il condono degli importi da restituire (cfr. doc. I inc. 38.2012.47, doc. I inc. 38.2012.48). In proposito giova segnalare che la giurisprudenza del Tribunale federale delle assicurazioni (TFA; dal 1° gennaio 2007 Tribunale federale) ha stabilito che è la decisione impugnata che costituisce il presupposto ed il contenuto della contestazione sottoposta all'esame giudiziale (cfr. STF 8C_360/2010 del 30 novembre 2010 consid. 1 e 2; DTF 131 V164; DTF 130 V 388; DTF 122 V 36 consid. 2a, DTF 110 V 51 consid. 3b e giurisprudenza ivi citata; SVR 1997 UV 81, p. 294). Nel caso di specie le decisioni su opposizione impugnate si limitano a confermare l’ordine di restituzione di parte delle indennità di disoccupazione ricevute nei mesi di febbraio e marzo 2012 emesse l’11 e il 17 aprile 2012 (cfr. doc. A1 inc. 38.2012.47; doc. A1 inc. 38.2012.48). La questione del condono esula, dunque, in ogni caso dalla presente causa. P er costante giurisprudenza è possibile pronunciare una decisione solo al momento della crescita in giudicato formale della decisione di restituzione, ritenuto che unicamente in quel caso tale obbligo è stabilito definitivamente (cfr. STF 9C_211/2009 del 26 febbraio 2010; STF 8C_130/2008 dell'11 luglio 2008; STF 8C_617/2009 del 5 novembre 2009). In simili condizioni gli atti vengono trasmessi alla Cassa affinché, dopo che le decisioni su opposizione impugnate saranno cresciute in giudicato, sottoponga la domanda di condono al servizio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