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38.2011.63 vom 19. Oktober 2011</w:t>
      </w:r>
    </w:p>
    <w:p>
      <w:r>
        <w:t>TI Tribunale d'appello, 2011-10-19, IT</w:t>
      </w:r>
    </w:p>
    <w:p>
      <w:r>
        <w:rPr>
          <w:b/>
        </w:rPr>
        <w:t xml:space="preserve">Quelle: </w:t>
      </w:r>
      <w:r>
        <w:t>https://mcp.opencaselaw.ch/entscheid/ti_gerichte_38.2011.63</w:t>
      </w:r>
    </w:p>
    <w:p>
      <w:r>
        <w:t>FR: TI_GERICHTE 38.2011.63 du 19 octobre 2011</w:t>
      </w:r>
    </w:p>
    <w:p>
      <w:r>
        <w:t>IT: TI_GERICHTE 38.2011.63 del 19 ottobre 2011</w:t>
      </w:r>
    </w:p>
    <w:p>
      <w:pPr>
        <w:pStyle w:val="Heading2"/>
      </w:pPr>
      <w:r>
        <w:t>Regeste</w:t>
      </w:r>
    </w:p>
    <w:p>
      <w:r>
        <w:t>Assegni per il periodo di introduz.accordati per 12mesi andranno chiesti in restituzione,poiché non rispettato cond.risolutiva(non disdetta se non causa grave).Ditta disdetto il rapp.di lavoro prima della concl.del periodo di intr.,invocando un motivo di carattere econ.(non causa grave ex art.337CO)</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In una sentenza pubblicata in DTF 124 V 246 il Tribunale federale delle assicurazioni (TFA) (dal 1° gennaio 2007: Tribunale Federale, TF) ha, in particolare, sottolineato: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Le problème si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BRÜHWILER, Kommentar Einzelarbeitsvertrag 2ème édition, note 1 ad art. 335b CO). Quant au but des allocations d'initiation au travail, il est de favoriser l'engagement durable de personnes au chômage dont le placement est fortement entravé (ATF 112 V 251 sv. consid. 3b; CATTANEO, Les mesures préventives et de réadaptation de l'assurance-chômage, thèse Genève 1992, n° 780 ss, p. 467). Le droit est subordonné, on l'a vu, à la condition qu'au terme de la période d'initiation, l'assuré puisse escompter un engagement aux conditions usuelles dans la branche et la région, compte tenu, le cas échéant, d'une capacité de travail durablement restreinte (art. 65 let. c LACI). L'autorité cantonale peut exiger que cette condition fasse l'objet d'un contrat écrit (art. 90 al. 3 OACI). Au regard des engagements que l'employeur est ainsi amené à prendre, celui-ci doit pouvoir, sans encourir le remboursement de prestations d'assurance, s'en libérer pendant le temps d'essai, si les rapport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â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(cfr. DTF 124 V 246, consid. 3b, pag. 248-249) In un’altra sentenza del 27 marzo 2000 nella causa D. SA,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Al riguardo l'Alta Corte si è così espressa: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 (cfr. DTF 126 V 42, consid. 2a, pag. 45) Nel caso che era chiamato a giudicare ha, in particolare, sottolineato quanto segue: " (…) 3.‑ 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(art. 337 al. 2 CO). D'après la jurisprudence, seul un manquement particulièrement grave du travailleur justifie son licenciement immédiat. Un tel manquement suppose que le travailleur ait violé soit l'une de ses obligations au travail, soit son devoir de fidelité. Si le manquement est moins grave, il ne peut entraîner une résiliation immédiate que s'il a été répété malgré un avertissement (ATF 121 III 472 consid. 4d et les arrêts cités). b) Dans le cas de J., l'employeur a invoqué des griefs d'ordre général ‑ au demeurant contestés par l'intéressée ‑ liés à la qualité du travail fourni. A l'évidence il ne s'agit pas de manquements pouvant justifier une résiliation immédiate. Quant au motif tiré des absences répétées de la travaiIleuse, il ne peut pas être retenu comme un juste motif de résiliation. A l'exception, semble-t-il, d'une brève absence motivée par le décès du frère de l'intéressée, les absences reprochées étaient dues à la maladie, soit un empêchement non fautif de travailler au sens de l'art. 324a al. 1 CO, qui ne saurait iustifier le licenciement immédiat du travailleur (art. 337 al. 3 CO).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(cfr. DTF 126 V 42, consid. 3a, pag. 46-47) In una sentenza 38.2004.65 del 9 marzo 2005 il TCA ha confermato la decisione su opposizione con la quale l'amministrazione ha stabilito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violazioni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Nella già citata DTF 126 V 42, la nostra Massima Istanza ha del resto rilevato che: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 (cfr. DTF 126 V 42, consid. 3a, pag. 47) Di conseguenza la ditta non poteva sciogliere il contratto di lavoro, come invece ha fatto (cfr. doc. 11/H), durante il periodo d’introduzione. Nella più volte citata DTF 126 V 42,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simili condizioni la decisione impugnata deve dunque essere confermata (per un caso analogo cfr. STCA del 27 gennaio 2005 nella causa M. SA, inc. 38.2004.56).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dalla “Decisione relativa agli assegni per il periodo d’introduzione” e dagli accertamenti effettuati dalla Sezione del lavoro Ufficio giuridico (cfr. doc. 11/F e consid. 1.5), è emerso che l’amministrazione ha informato correttamente la ditta ricorrente riguardo alle possibili conseguenze che il licenziamento della signora X durante il periodo d’introduzione avrebbe potuto avere. In particolare alla ditta ricorrente non è mai stato garantito che, in una tale evenienza, non le sarebbe stata chiesta la restituzione degli API così come espressamente previsto nella decisione relativa agli stessi." Infine, 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del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2.6.   Nella presente fattispecie risulta dagli atti dell'incarto che l'assicurato è stato posto al beneficio di assegni per il periodo di introduzione presso la ditta RI 1 SA, __________ a partire dal 1° aprile 2010. Scopo della misura era di introdurre l'assicurato nella rappresentanza dei diversi prodotti del settore mortuario, di proporre i prodotti ad altri Cantoni o all’estero e di conoscere le pratiche burocratiche in Svizzera o all’estero (cfr. Doc. A01-A03). Sul formulario "Domanda per ottenimento degli Assegni per il periodo di introduzione (API)", sottoscritto dall'assicurato e dal datore di lavoro, figurano esplicitamente le seguenti indicazioni: " (...) 2.   L'azienda deve: ●   stipulare con l'assicurato un contratto di lavoro a tempo indeterminato; ●   inserire l'assicurato al lavoro nella propria azienda, preparando e seguendo un piano di introduzione adeguato; ●   anticipare al lavoratore mensilmente, o conformemente ad accordo scritto ed entro i termini, gli assegni unitamente al salario. Conteggiare anche sugli assegni per il periodo d'introduzione i contributi per le assicurazioni sociali (AVS, Al, IPG, AD, SUVA, e LPP); ●   trasmettere mensilmente i conteggi e l'attestato PML alla cassa disoccupazione dell'assicurato; ●   informare immediatamente l'Ufficio delle misure attive in caso di difficoltà che potrebbero portare ad una disdetta del contratto durante il periodo di introduzione (informazione da svolgere prima della comunicazione della disdetta) allo scopo di permettere a quest'ultima di mediare una soluzione del problema; ●   le parti si impegnano a comunicare per iscritto all'Ufficio delle misure attive (Residenza governativa, 6501 Bellinzona) l'esercizio del diritto di disdetta e i motivi dello stesso. In caso di mancata informazione preventiva dell'autorità prima della pronuncia della disdetta, rispettivamente in caso di disdetta durante il periodo d'introduzione in assenza di gravi motivi (art. 337 CO), l'autorità si riserva il diritto di esigere il rimborso degli assegni e dei bonus versati; ●   inviare all'Ufficio delle misure attive (Residenza governativa, 6501 Bellinzona), al termine del periodo di introduzione, un rapporto sull'andamento di quest'ultimo. La cassa disoccupazione rimborsa l'ultimo assegno solo quando l'Ufficio delle misure attive avrà ricevuto dal datore di lavoro il rapporto finale. Sulla base di questo documento l'Ufficio procede al riconoscimento del bonus d'inserimento in azienda. (…)" (Doc.1.02) L'azienda ha disdetto il rapporto di lavoro, con lettera datata 28 febbraio 2011, pervenuta all’assicurato il 1° marzo 2011, e quindi  prima della conclusione del periodo di introduzione, invocando una motivazione di carattere economico (cfr. consid. 1.2) I noltre l’UMA non è stato preventivamente informato dalla ditta ricorrente riguardo alla sua intenzione di sciogliere il contratto di lavoro. Ora, come visto (cfr. consid. 2.4), secondo la costante giurisprudenza federale, dei motivi economici non configurano una causa grave ai sensi dell'art. 337 CO. Inoltre il Tribunale federale ha sottolineato che gli assegni per il periodo d’introduzione devono essere vincolati a delle condizioni severe. Di conseguenza, non avendo la ditta RI 1 rispettato la condizione risolutiva posta al momento della concessione degli API, a ragione l'UMA ne ha chiesto la restituzione. La decisione su opposizione impugnata deve pertanto essere confermata.</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del 10 dicembre 2004 nella causa F., C 209/04, consid. 2; le STFA del 5 agosto 2003 nelle cause A., C 200/02 e A., C 201/02, consid. 1, la giurisprudenza ivi citata e il Messaggio del Consiglio federale concernente una nuova legge federale sull'assicurazione obbligatoria contro la disoccupazione e l'indennità per insolvenza del 2 luglio 1980; FF 1980 III 469 segg.). 2.4.   In particolare, quale provvedimento speciale, agli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L'OADI, al cpv. 1 dell'art. 90, nella versione in vigore nel periodo che qui ci interessa, definisce così la nozione di "assicurato difficilmente collocabile": " 1 Un assicurato è considerato difficilmente collocabile se, tenuto conto della situazione del mercato del lavoro, ha difficoltà particolarmente gravi per trovarsi un impiego poiché: a.   è in età avanzata; b.   è impedito fisicamente, psichicamente o mentalmente; c.   ha cattivi precedenti professionali; d.   ha già riscosso 150 indennità giornaliere." Dal 1° aprile 2011 l’art. 90 cpv. 1 OADI è invece così formulato: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1ter." Gli assegni di introduzione coprono la differenza tra il salario effettivo e il salario normale che l'assicurato può pretendere al termine del periodo di introduzione, tenuto conto della sua capacità lavorativa, ma al massimo il 60 % del salario normale (art. 66 cpv. 1 LADI). La legge pone dunque una serie di condizioni affinché possano essere concessi gli assegni dell'art. 65 LADI (cfr. D. Cattaneo, "Les mesures préventives et de réadaptation de l'assurance-chômage", Basilea e Francoforte sul Meno 1992, p. 467 e seg.). Innanzitutto deve trattarsi di assicurati difficilmente collocabili (prima condizione). Poi, deve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Secondo l'art. 66 cpv. 2 LADI, durante il termine quadro, gli assegni di introduzione sono pagati per sei mesi al massimo; in casi eccezionali, soprattutto per disoccupati in una certa età, per dodici mesi al massimo. Il Consiglio federale disciplina i particolari. Secondo l'art. 90 cpv. 1 bis OADI gli assegni per il periodo di introduzione possono essere versati per un periodo di dodici mesi al massimo se, in base alla situazione personale dell'assicurato, si deve dedurre che lo scopo dell'introduzione al lavoro non possa essere raggiunto in sei mesi. Su queste disposizioni, cfr. D. Cattaneo, op. cit., pag. 131 no. 167 e pag. 478 no. 804; G. Gerhards, "Kommentar zum Arbeitslosenversicherungsgesetz", Volume III, Berna-Stoccarda-Vienna 1993, pag. 1306-1307, nos. 8-9 e Th. Nussbaumer, Arbeitslosenversicherung, in: Schweizerisches Bundesverwaltungsrecht [SBVR], Soziale Sicherheit. Ed. Helbing &amp; Lichtenhahn, Basilea-Ginevra-Monaco 2007, il quale rileva in particolare che: " Definitive Zusage: Die Versicherte Person muss schliesslich nach der Einarbeitung mit einer Anstellung zu orts- und brachenüblichen Bedingungen, allenfalls unter Berücksichtigung einer dauernd verminderten Leistungsfähigkeit, rechnen können. Entgegen dem Gesetzeswortlaut und um die dauerhafte Eingliederung nicht illusorisch werden zu lassen, ist hier definitive Zusage für die Einstellung nach Abschluss der Einarbeitungsphase zu fordern, und zwar in Form eines unbefristeten Arbeitsverhältnisses. Zu Recht räumt Art. 90 Abs. 3 AVIV daher der kantonalen Amtsstelle die Befugnis ein, eine schriftliche Anstellungszusage zu verlangen. Diese ändert aber nichts daran, dass der Arbeitgeber das Arbeitsverhältnis während der Einarbeitungszeit auflösen kann. Sofern en hiefür keine plausiblen Gründe vorbringen kann oder damit gegen Bedingungen der schriftlichen Vereinbarung (art. 90 Abs. 3 AVIV) verstösst, ist er als Leistungsempfänger rückerstattungspflichtig." (N° 737 pag. 2400-2401)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