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38.2011.40 vom 25. Juli 2011</w:t>
      </w:r>
    </w:p>
    <w:p>
      <w:r>
        <w:t>TI Tribunale d'appello, 2011-07-25, IT</w:t>
      </w:r>
    </w:p>
    <w:p>
      <w:r>
        <w:rPr>
          <w:b/>
        </w:rPr>
        <w:t xml:space="preserve">Quelle: </w:t>
      </w:r>
      <w:r>
        <w:t>https://mcp.opencaselaw.ch/entscheid/ti_gerichte_38.2011.40</w:t>
      </w:r>
    </w:p>
    <w:p>
      <w:r>
        <w:t>FR: TI_GERICHTE 38.2011.40 du 25 juillet 2011</w:t>
      </w:r>
    </w:p>
    <w:p>
      <w:r>
        <w:t>IT: TI_GERICHTE 38.2011.40 del 25 luglio 2011</w:t>
      </w:r>
    </w:p>
    <w:p>
      <w:pPr>
        <w:pStyle w:val="Heading2"/>
      </w:pPr>
      <w:r>
        <w:t>Regeste</w:t>
      </w:r>
    </w:p>
    <w:p>
      <w:r>
        <w:t>Rettam.la SdL ha negato ripetibili per la proc.di opposiz.(nel merito opp.parz.accolta:ass.idoneo al coll.dal9/10 al 1/11con dispon.del 80%).Infatti non date cond.per concedere GP in sede di opp.e non confrontati con circ.part.tali da comportare che il rifiuto ripet.configuri viol.senso di giustizia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ad art. 37; cfr., d'altronde, FF 1999 3965).</w:t>
      </w:r>
    </w:p>
    <w:p>
      <w:r>
        <w:t>Per il resto, quali presupposti del gratuito patrocinio valgono l'indigenza del richiedente, la necessità del patrocinio e la probabilità di esito favorevole (cfr. FF 1999 3965).</w:t>
      </w:r>
    </w:p>
    <w:p>
      <w:r>
        <w:t>La concretizzazione delle singole condizioni ha luogo in analogia con i corrispondenti criteri applicabili nella procedura giudiziaria (cfr. U. Kieser, op. cit., n. 21 ad art. 37).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