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38.2010.32 vom 15. Dezember 2009</w:t>
      </w:r>
    </w:p>
    <w:p>
      <w:r>
        <w:t>TI Tribunale d'appello, 2009-12-15, IT</w:t>
      </w:r>
    </w:p>
    <w:p>
      <w:r>
        <w:rPr>
          <w:b/>
        </w:rPr>
        <w:t xml:space="preserve">Quelle: </w:t>
      </w:r>
      <w:r>
        <w:t>https://mcp.opencaselaw.ch/entscheid/ti_gerichte_38.2010.32_d20091215</w:t>
      </w:r>
    </w:p>
    <w:p>
      <w:r>
        <w:t>FR: TI_GERICHTE 38.2010.32 du 15 décembre 2009</w:t>
      </w:r>
    </w:p>
    <w:p>
      <w:r>
        <w:t>IT: TI_GERICHTE 38.2010.32 del 15 dicembre 2009</w:t>
      </w:r>
    </w:p>
    <w:p>
      <w:pPr>
        <w:pStyle w:val="Heading2"/>
      </w:pPr>
      <w:r>
        <w:t>Regeste</w:t>
      </w:r>
    </w:p>
    <w:p>
      <w:r>
        <w:t>Richiesta di indennità per lavoro ridotto respinta in quanto gli assicurati occupano una posizione analoga al datore di lavoro all'interno della ditta in questione</w:t>
      </w:r>
    </w:p>
    <w:p>
      <w:pPr>
        <w:pStyle w:val="Heading2"/>
      </w:pPr>
      <w:r>
        <w:t>Erwägungen</w:t>
      </w:r>
    </w:p>
    <w:p>
      <w:r>
        <w:rPr>
          <w:b/>
        </w:rPr>
        <w:t>E. 29</w:t>
      </w:r>
    </w:p>
    <w:p>
      <w:r>
        <w:t>April 2002 als auch bei der Beendigung des Arbeitsverhältnisses zwar nicht Organ der Arbeitgeberfirma Firma C.________ GmbH, doch war er finanziell daran beteiligt. Hingegen blieb seine Ehefrau K.________ einzelzeichnungsberechtigte Geschäftsführerin und Hauptgesellschafterin der Firma C.________ GmbH. Sie besass auch bei momentaner Inaktivität der Firma weiterhin die Dispositionsfreiheit und damit die Möglichkeit, den statutarischen Gesellschaftszweck beispielsweise durch Neuakquisition von Aufträgen zu verwirklichen und dannzumal ihren Ehemann erneut anzustellen. Daran vermögen die Vorbringen in der Verwaltungsgerichtsbeschwerde nichts zu ändern. Wenn die GmbH trotz Inaktivität aus irgendwelchen Gründen im Handelsregister nicht gelöscht werden soll, so hat der Beschwerdeführer die sich daraus ergebenden rechtlichen Konsequenzen (hier: Fortdauer der arbeitgeberähnlichen Stellung) zu tragen. Unter solchen Umständen kann weder eine rechtsmissbräuchliche Umgehung der Vorschriften über die Kurzarbeitsentschädigung noch die Gefahr eines missbräuchlichen Beanspruchens der Arbeitslosenversicherung (vgl. ARV 2003 Nr. 22 S. 242 Erw. 4, bestätigt im Urteil W. vom 31. März 2004 [C 171/03]) ausgeschlossen werden. Daher könnte kein Anspruch auf Kurzarbeitsentschädigung entstehen. Folglich muss rechtsprechungsgemäss (BGE 123 V 234) auch ein Anspruch auf Arbeitslosenentschädigung verneint werden. Nach dem klaren Wortlaut des Art. 31 Abs. 3 lit. c AVIG hätte der Beschwerde führende Ehemann keinen Anspruch auf Kurzarbeitsentschädigung; denn seine Ehefrau war Einzelzeichnungsberechtigte der Arbeitgeberin. Diese Ausschlusseigenschaft ("Ehegatte") verliert er bei Eintritt der Ganzarbeitslosigkeit nicht. (…)." (cfr. STFA del 5 luglio 2004 nella causa D., C 155/03) In un'altra sentenza C 193/04 del 7 dicembre 2004, pubblicata in DLA 2005 N. 9 pag. 130, la nostra Massima Istanza ha confermato il rifiuto del diritto alle indennità di disoccupazione a un assicurato che si è iscritto al collocamento dopo essere stato licenziato da una ditta nella quale sua moglie ha conservato la carica di socia gerente. L’Alta Corte ha, tra l’altro, sviluppato le seguenti considerazioni: " (…) 2.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3. 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4. 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w:t>
      </w:r>
    </w:p>
    <w:p>
      <w:r>
        <w:rPr>
          <w:b/>
        </w:rPr>
        <w:t>E. 31</w:t>
      </w:r>
    </w:p>
    <w:p>
      <w:r>
        <w:t>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STFA del 7 dicembre 2004 nella causa W., C 193/04) In una sentenza C 270/04 del 4 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 3.1 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 (cfr. STFA del 4 luglio 2005 nella causa M., C 270/04, la sottolineatura è del redattore) In una sentenza 8C_492/2008 del 21 gennaio 2009 l'Alta Corte ha, infine, negato il diritto alle indennità di disoccupazione a un assicurato la cui coniuge era socia e gerente della Sagl, sua ex datrice di lavoro, e deteneva la maggior parte delle quote sociali, nonostante il negozio gestito dalla Sagl fosse stato chiuso e il contratto d'affitto dei relativi locali commerciali disdetto. Al riguardo il TF ha evidenziato che, siccome la società non era comunque stata iscritta a RC come società in liquidazione, non era esclusa una ripresa dell'attività entro un lasso di tempo relativamente breve. 2.4.   Nella presente fattispecie, dall’estratto del Registro di commercio (reperibile al sito www.zefix.ch) inerente alla RI 1 emerge che la ditta è stata iscritta il 24 settembre 2007. Tra i soci fondatori figurano __________ e __________. Entrambi sono stati, insieme a __________, soci e gerenti della società fino al 24 aprile 2009, quando tutte le quote sono state rilevate dalla __________ di __________. Unico gerente della ditta è ora __________. Nell’ambito del trapasso delle quote societarie, con scritto del 22 aprile 2009 controfirmato __________ per la RI 1, la __________ ha stabilito le condizioni alle quali sarebbe stata sottoposta la collaborazione con la RI 1. In particolare, le parti hanno concordato quanto segue: " (…) 2. __________ nominerà un Gerente unico di propria fiducia, il quale sarà responsabile dell’allestimento della contabilità e di espletare tutte le incombenze amministrative, contabili, fiscali; 3. settimanalmente il signor __________ relazionerà il Gerente sull’andamento degli affari, degli ordini in corso, delle posizioni debitorie e creditorie; (…) 5. __________ ed il Gerente non saranno ritenuti in nessuna maniera responsabili di eventuali situazioni di difficoltà della RI 1, siano esse di natura finanziaria / economica, siano esse di natura strutturale / societaria / amministrativa. (…)" (cfr. doc. 4) In base all’accordo, quindi, il Gerente nominato da __________ assume all’interno della ditta la funzione di controllo contabile, giustificato dall’investimento di fr. 50'000.-- operato da __________ nella RI 1 (cfr. doc. V). Gli aspetti relativi alla gestione operativa della società, come gli ordini e i contatti con i fornitori e i clienti, restano invece di competenza di __________. Secondo questo Tribunale, viste le condizioni dell’accordo in questione, appare sufficientemente dimostrato che __________ e la moglie __________ ricoprono a tutt’oggi un ruolo all’interno della ditta tale da determinare o influenzare risolutivamente l’andamento della società, occupando quindi una posizione analoga a quella del datore di lavoro. Infatti, tramite l’accordo di collaborazione la __________ si svincola da qualsiasi responsabilità relativa alla gestione operativa della società (cfr. doc. 4 punto 5). Non essendovi altri dipendenti della ditta oltre a __________ e __________ (cfr. doc. A1), non possono che essere loro due i responsabili della conduzione operativa della società. Essendo __________ e __________ coniugi, anche volendo ammettere che solo uno dei due coniugi gestisca l’andamento della RI 1, in applicazione dell’art. 31 cpv. 3 lett. c LADI anche all’altro coniuge andrebbe comunque negato il diritto ad indennità per lavoro ridotto. La decisione su opposizione emessa dalla Cassa il 22 aprile 2010 va pertanto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