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38.2009.75 vom 7. August 2009</w:t>
      </w:r>
    </w:p>
    <w:p>
      <w:r>
        <w:t>TI Tribunale d'appello, 2009-08-07, IT</w:t>
      </w:r>
    </w:p>
    <w:p>
      <w:r>
        <w:rPr>
          <w:b/>
        </w:rPr>
        <w:t xml:space="preserve">Quelle: </w:t>
      </w:r>
      <w:r>
        <w:t>https://mcp.opencaselaw.ch/entscheid/ti_gerichte_38.2009.75_d20090807</w:t>
      </w:r>
    </w:p>
    <w:p>
      <w:r>
        <w:t>FR: TI_GERICHTE 38.2009.75 du 7 août 2009</w:t>
      </w:r>
    </w:p>
    <w:p>
      <w:r>
        <w:t>IT: TI_GERICHTE 38.2009.75 del 7 agosto 2009</w:t>
      </w:r>
    </w:p>
    <w:p>
      <w:pPr>
        <w:pStyle w:val="Heading2"/>
      </w:pPr>
      <w:r>
        <w:t>Regeste</w:t>
      </w:r>
    </w:p>
    <w:p>
      <w:r>
        <w:t>Negato condono a assicurato che non ha segnalato alla Cassa di aver iniziato una seconda attività lucrativa mentre percepiva delle indennità compensative unicamente sulla base del reddito del primo impiego</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3.2</w:t>
      </w:r>
    </w:p>
    <w:p>
      <w:r>
        <w:t>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 16. 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2.5.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2.6.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Zugeder Anpassung an das ATSG ersatzlos aufgehoben. Dies trifft insbesondere Regelungen zur Auskunftspflicht der Partei bzw. von Drittpersonen (vgl dazu BBl 1999 4585). (…)." (cfr. Kieser op. cit., ad art. 28, n. 30 e 31) " a  Der Gesetzgeber hat grundsätzlich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 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2.7.   Il TFA, pronunciandosi nel caso di un assicurato che non aveva annunciato di avere ricevuto un salario durante alcuni giorni e al quale il Tribunale cantonale aveva riconosciuto la buona fede nella percezione delle indennità in un determinato periodo di controllo, ha sviluppato le seguenti considerazioni: " (…)</w:t>
      </w:r>
    </w:p>
    <w:p>
      <w:r>
        <w:rPr>
          <w:b/>
        </w:rPr>
        <w:t>E. 4.1</w:t>
      </w:r>
    </w:p>
    <w:p>
      <w:r>
        <w:t>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2.8.   Questo Tribunale rileva innanzitutto che mentre era iscritto in disoccupazione, l’assicurato nel mese di settembre 2008 ha lavorato con un contratto a ore sia per la __________ in qualità di magazziniere (doc. 7), sia per la __________ quale autista (doc. 14). Tale circostanza emerge in modo chiaro dalle tavole processuali. In particolare, nello scritto e-mail del 21 aprile 2009 (doc. 19) la fiduciaria __________ ha affermato quanto segue: " RI 1 ha iniziato il suo lavoro presso la __________ il 1° settembre 2008. Lo stipendio del mese di settembre è stato pagato in contanti in quanto il numero di conto comunicatoci non era esatto” (doc. 13, la sottolineatura è del redattore). Anche l’assicurato ha confermato di aver lavorato nel mese di settembre 2008 per la __________, sebbene ne abbia sempre contestato il numero di ore conteggiate dall’azienda (egli sostiene di aver lavorato “ per circa 4 o al massimo 5 ore al giorno ”, senza tuttavia precisare per quanti giorni, mentre l’azienda indica 176 ore) (doc.18, inc. 38.2009.79). In particolare egli ha affermato: " Io sottoscritto RI 1 in qualità di assicurato, non credo di aver violato nessun obbligo di annunciare e di informare, nel mese di settembre ho dato la disdetta in __________ e nel mese di settembre, nel frattempo ho fatto un paio di ore presso la __________…” (doc. 21, la sottolineatura è del redattore)”. Nello scritto del 29 giugno 2009 (doc. 15 inc. 38.2009.75) RI 1 ha confermato di aver lavorato nel mese di settembre, per poche ore al giorno, presso la __________ e di aver ricevuto lo stipendio di questo mese in contanti: " (…) La società __________ mi ha versato lo stipendio di settembre in contanti, ma primo non nel mese di settembre, secondo io non sono mai entrato in possesso della ricevuta con data e firma della consegna dei soldi in contanti, l’unico che ce l’ha in possesso è il sig. __________. (…) Per la società __________ in quei giorni ho lavorato per circa 4 o al massimo 5 ore al giorno, e a fine mese mi sono sentito dire che quelle ore me le avrebbe pagate e fatte risultare tutte nel mese di Ottobre…" (doc. 15, la sottolineatura è del redattore). Anche nello scritto del 14 ottobre 2009 indirizzato a questa Corte l’insorgente ha nuovamente indicato di aver lavorato nel mese di settembre “… alcune ore di prova presso __________ ”. (doc. VI) A prescindere dal numero di ore effettivamente prestate dal ricorrente nel mese di settembre 2008 (nell’attestato di guadagno intermedio del 2 ottobre 2008 la __________ ha indicato 176 ore (doc.18, inc. 38.2009.79), mentre il ricorrente ha affermato di aver svolto 4 o 5 ore al giorno senza tuttavia precisare per quanti giorni) è comunque evidente che RI 1 ha negligentemente omesso di annunciare alla Cassa di aver lavorato in questo mese oltre che per la __________ anche per la __________. Nel formulario di autocertificazione (FAUT) del mese di settembre 2008 alla domanda “ Ha lavorato per uno o più datori di lavoro ? ” (doc. 3, pto. 1), il ricorrente ha risposto affermativamente, ma non ha indicato l’attività iniziata quel mese presso la __________. Quando l’assicurato si è nuovamente iscritto al collocamento il 2 marzo 2009 nella domanda d’indennità di disoccupazione trasmessa alla Cassa __________ egli ha indicato di aver lavorato anche presso la __________ (oltre alla __________) dal mese di ottobre 2008 alla fine del mese di febbraio 2009 (doc. 12). Circostanza che non era stata comunicata prima alla Cassa disoccupazione __________, la quale nel mese di ottobre 2008 ha versato l’importo di fr. 1'217.05 a titolo di guadagno intermedio del mese di settembre 2008 fondandosi sull’unico attestato di guadagno intermedio pervenuto, quello del 2 ottobre 2008 (doc. 11). La Cassa disoccupazione __________ nella decisione del 24 aprile 2009, confermata con decisione su opposizione del 4 settembre 2009 ha quindi sospeso l’assicurato dal diritto all’indennità di disoccupazione per 10 giorni a partire dal 2 marzo 2009 (doc. 20, inc. 38.2009.79). Dalle evenienze appena riportate risulta in modo evidente che l’assicurato ha disatteso i suoi obblighi di cui agli art. 28 e 31 LPGA (cfr. consid. 2.6) non segnalando alla Cassa di aver iniziato nel mese di settembre 2008 una seconda attività lucrativa presso la __________. Egli infatti ha percepito delle indennità compensative unicamente sulla base del reddito percepito dalla __________, malgrado il suo reddito conseguito nel mese di settembre 2008 fosse superiore grazie a quanto percepito dalla __________. Un tale comportamento configura una grave negligenza che esclude la buona fede dell’assicurato intesa quale presupposto necessario per poter ottenere il condono delle prestazioni chiestegli in restituzione (cfr. consid. 2.3, 2.4, 2.5.). Contestualmente è utile evidenziare che il TFA, in una sentenza C 103/06 del 2 ottobre 2006, ha ribadito che per negare la buona fede non è necessario un comportamento doloso, né fraudolento. Il ricorrente da parte sua ha contestato sostanzialmente il comportamento del suo precedente datore di lavoro che – a suo dire – non avrebbe attestato il vero nelle proprie dichiarazioni senza tuttavia fornire alcun elemento oggettivo che permetta a questa Corte di inficiare le conclusioni a cui è giunta la Sezione del lavoro. 2.9.   Nello scritto del 14 ottobre 2009 il ricorrente ha chiesto di assumere alcuni mezzi di prova, in particolare l’assunzione del teste signor __________ (doc. VI) Ulteriori prove, visti i motivi che hanno portato alla reiezione del ricorso, appaiono superflue. Per cui questa Corte rinuncia alla loro assunzione. Al riguardo va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febbraio 2006 nella causa G., U 416/04 consid. 3.2.;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Per quel che riguarda le contestazioni dell'assicurato nei confronti del suo ex datore di lavoro, esse sono di natura civile ed esulano dalle competenze del TCA (cfr. l'art. 49 cpv. 1 lett. a della Legge sull’organizzazione giudiziaria, secondo cui "il Tribunale cantonale delle assicurazioni, composto di 3 membri, giudica come istanza unica le contestazioni in materia di assicurazioni sociali, come pure le altre contestazioni che gli sono attribuite dalla legge;" e l'art. 1 della Legge di procedura per le cause davati al Tribunale cantonale delle assicurazioni (Lptca) secondo cui “ Il Tribunale cantonale delle assicurazioni giudica come istanza unica i ricorsi in materia di assicurazioni sociali federali ai sensi dell’art. 57 della legge federale sulla parte generale del diritto delle assicurazioni sociali (in seguito LPGA) e le azioni in materia di previdenza professionale (cpv. 1). Esso giudica inoltre le altre contestazioni fondate sul diritto federale e sul diritto cantonale, che gli sono attribuite dalle singole leggi (cpv. 2)) ”. La stessa conclusione vale per la richiesta di risarcimento danni inoltrata dall'assicurato (cfr. art. 1 LPTCA e STFA del 28 aprile 2003 nella causa F., C 24/01 e C 137/01, consid. 4). A questo proposito nella sentenza 8C_784/2007 dell’11 novembre 2008 l’Alta Corte ha dichiarato irricevibili le pretese pecuniarie fatte valere dall’opponente, in quanto esulavano dall'oggetto del litigio, determinato dalla sospensione litigiosa dell'indennità di disoccupazione. 2.11.   Alla luce di tutto quanto esposto, occorre concludere che, venendo a mancare il primo presupposto necessario per poter ottenere il condono delle prestazioni – la buona fede -, a ragione la Sezione del lavoro ha respinto la relativa istanza senza verificare se l’ulteriore condizione, quella del grave rigore, fosse o meno adempiuta (cfr. art. 25 cpv. 1 LPGA; 4 OPGA). La decisione su opposizione del 4 settembre 2009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