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38.2006.78 vom 2. August 2006</w:t>
      </w:r>
    </w:p>
    <w:p>
      <w:r>
        <w:t>TI Tribunale d'appello, 2006-08-02, IT</w:t>
      </w:r>
    </w:p>
    <w:p>
      <w:r>
        <w:rPr>
          <w:b/>
        </w:rPr>
        <w:t xml:space="preserve">Quelle: </w:t>
      </w:r>
      <w:r>
        <w:t>https://mcp.opencaselaw.ch/entscheid/ti_gerichte_38.2006.78_d20060802</w:t>
      </w:r>
    </w:p>
    <w:p>
      <w:r>
        <w:t>FR: TI_GERICHTE 38.2006.78 du 2 août 2006</w:t>
      </w:r>
    </w:p>
    <w:p>
      <w:r>
        <w:t>IT: TI_GERICHTE 38.2006.78 del 2 agosto 2006</w:t>
      </w:r>
    </w:p>
    <w:p>
      <w:pPr>
        <w:pStyle w:val="Heading2"/>
      </w:pPr>
      <w:r>
        <w:t>Regeste</w:t>
      </w:r>
    </w:p>
    <w:p>
      <w:r>
        <w:t>Violazione del diritto di essere sentito.Amministrazione non si è espressa sulle allegazioni dell'opposizione circa l'esercizio di un impiego soggetto a contribuzione.L'assicurato non ha poi potuto pronunciarsi sull'imputazione di posizione analoga a un datore di lavoro di cui alla risposta di causa</w:t>
      </w:r>
    </w:p>
    <w:p>
      <w:pPr>
        <w:pStyle w:val="Heading2"/>
      </w:pPr>
      <w:r>
        <w:t>Erwägungen</w:t>
      </w:r>
    </w:p>
    <w:p>
      <w:r>
        <w:rPr>
          <w:b/>
        </w:rPr>
        <w:t>E. 30</w:t>
      </w:r>
    </w:p>
    <w:p>
      <w:r>
        <w:t>Abs. 2 lit. b VwVG braucht die Behörde die Parteien nicht anzuhören vor Verfügungen, die durch Einsprache anfechtbar sind. Aus den Gesetzesmaterialien erhellt, dass die Einschränkung, wonach die Parteien nicht angehört werden müssen vor Verfügungen, die durch Einsprache anfechtbar sind, durch die nationalrätliche Kommission eingefügt worden ist (BBl 1999 4599). Der Bericht der Kommission des Ständerates vom 27. September 1990 zur Parlamentarischen Initiative Allgemeiner Teil Sozialversicherung enthielt demgegenüber mit Art. 50 des Entwurfs lediglich die Bestimmung: "Die Parteien haben Anspruch auf rechtliches Gehör" (BBl 1991 II 199). Im Bericht der Kommission des Nationalrates für soziale Sicherheit und Gesundheit vom 26. März 1999 wird ausgeführt, das rechtliche Gehör solle eine effiziente und rasche Erledigung nicht verunmöglichen. Art. 30 VwVG halte fest, dass die Gewährung des rechtlichen Gehörs vor Verfügungserlass dann nicht zwingend sei, wenn gegen die Verfügung Einsprache erhoben werden könne. Dieser Grundsatz sei formell ins ATSG aufzunehmen. Bisher sei das rechtliche Gehör als solches spezialgesetzlich nur über die Verweisungen im Militärversicherungsgesetz und im Unfallversicherungsgesetz BGE 132 V 368 S. 373 auf das VwVG geregelt gewesen. Diese Verweisungsnormen könnten nun gestrichen werden (BBl 1999 4599). Daraus erhellt, dass der Gesetzgeber mit Art. 42 Satz 2 ATSG bezüglich des Anspruchs auf Anhörung der Parteien vor Verfügungen, die durch Einsprache anfechtbar sind, eine abschliessende Regelung treffen wollte. Ein Rückgriff auf das VwVG, wie ihn Art. 55 Abs. 1 ATSG für den Fall statuiert, dass sich in den Art. 27 bis 54 ATSG oder in den Einzelgesetzen keine abschliessende Verfahrensregelung findet, ist daher nicht notwendig. 4.3  Bezüglich Art. 30 Abs. 2 VwVG wird in der Literatur die Auffassung vertreten, die Bestimmung stelle zweifellos eine ausreichende gesetzliche Grundlage dar, um die Rechte auf Orientierung, Äusserung und Mitwirkung im Beweisverfahren vor Erlass der Verfügung zu beschränken. Die Beschränkung des rechtlichen Gehörs sei jedoch erst dann zulässig, wenn sie im öffentlichen Interesse liege, verhältnismässig sei und der Kerngehalt des rechtlichen Gehörs im engeren Sinne gewahrt bleibe (ROGER PETER, Der Sachverständige im Verwaltungsverfahren der obligatorischen Unfallversicherung, Zürich 1999, S. 133). Für das Abklärungsverfahren im Bereich der Sozialversicherung bildet der dieser Bestimmung nachgebildete Art. 42 Satz 2 ATSG die gesetzliche Grundlage. Aufgrund der Pflicht der Behörden, die Verfügung schriftlich zu begründen und mit einer Rechtsmittelbelehrung zu versehen (Art. 49 Abs. 3 ATSG), sowie der Einsprachemöglichkeit (Art. 52 Abs. 1 ATSG) erweist sich die Beschränkung des rechtlichen Gehörs in der Regel als verhältnismässig und der Kerngehalt des rechtlichen Gehörs im engeren Sinne bleibt gewahrt (vgl. PETER, a.a.O., S. 135 zu Art. 34 f. VwVG). Das öffentliche Interesse an der vom Gesetzgeber ausdrücklich gewollten einfachen und zweckmässigen Verfahrensdurchführung und funktionierenden Verwaltung vermag zudem das Interesse der versicherten Person auf Anhörung vor Verfügungserlass grundsätzlich zu überwiegen. 4.4  Der Wortlaut von Art. 42 Satz 2 ATSG befreit die Behörde von der Pflicht, die Parteien vor Verfügungen anzuhören, die mit Einsprache anfechtbar sind, verbietet ihr aber nicht, dies im Einzelfall zu tun. Sie kann sich dazu beispielsweise dann veranlasst sehen, wenn sie sich davon eine bessere Akzeptanz der Verfügung durch die versicherte Person verspricht (vgl. RKUV 1992 Nr. U 152 S. 200 Erw. 3b zu Art. 30 Abs. 2 lit. b VwVG; BARBARA KUPFER BUCHER, Erfahrungen in der Arbeitslosenversicherung, in:  SCHAFFHAUSER/Kieser BGE 132 V 368 S. 374 [Hrsg.], Praktische Anwendungsfragen des ATSG, St. Gallen 2004, S. 96). Aber auch prozessökonomische Gründe können es dem Versicherungsträger gebieten, die Parteien vor Verfügungserlass anzuhören, beispielsweise um zu vermeiden, dass eine angeordnete Beweismassnahme unter Umständen auf gerichtliche Anordnung hin wiederholt werden muss (vgl. BGE 121 V 150 im Zusammenhang mit der Durchführung eines Augenscheins).“ Il diritto di essere sentito deve però essere garantito nella procedura di opposizione (cfr. STFA del 23 giugno 2003 nella causa S., C 49/03). Il diritto di essere sentito, di cui all’art. 29 cpv. 2 Cost., comprende, fra l’altro, la pretesa di ottenere una decisione motivata, che impone all'autorità di pronunciarsi nei considerandi sulle allegazioni delle parti, riferendosi agli argomenti da esse addotti. Tale obbligo intende evitare che l'autorità, nell'esercizio dei suoi poteri decisionali, si lasci guidare da ragioni non pertinenti e, d'altro canto, consentire al cittadino di farsi una chiara idea della portata della decisione che lo riguarda per poterla, se del caso, impugnare. A tal fine ogni atto decisionale deve menzionare, anche se brevemente, le considerazioni che ne hanno determinato il convincimento e l’hanno dunque spinta a decidere in un senso piuttosto che nell’altro. L’autorità non è tenuta a prendere esplicitamente posizione su ogni allegazione di fatto o di diritto, ma può limitarsi ai punti essenziali e all'esame delle argomentazioni di parte atte a influire sul giudizio (cfr. STFA del 13 giugno 2003 nella causa G., I 475/01, consid, 2.1.; STFA del 10 giugno 2002 nella causa R., H 192/00; DTF 121 III 331 consid. 3b; Albertini, Der verfassungsmässige Anspruch auf rechtliches Gehör im Verwaltungsverfahren des modernen Staates, Berna 2000, pag. 368 seg. con numerosi rinvii). In una sentenza del 17 giugno 2005 (I 3/05), pubblicata in SVR 2006 IV Nr. 27 pag. 92, il TFA ha precisato che il rinvio del rispetto del diritto di essere sentito alla procedura di opposizione implica che la decisione su opposizione venga motivata accuratamente tenendo in considerazione le obiezioni sollevate dall’assicurato. Inoltre la nostra Massima Istanza ha osservato: " (…) Die Einsprache ist ein nicht devolutives Rechtsmittel (RKUV 2003 Nr. U 490 S. 367 Erw. 3.2.1). Sie zielt darauf, ungenügende Abklärungen oder Fehlbeurteilungen, aber auch Missverständnisse, die den angefochtenen Verwaltungsverfügungen zugrunde liegen in einem kostenlosen und weitgehend formlosen Verfahren auszuräumen, ohne dass die übergeordneten Gerichte angerufen werden müssen (vgl. Erw. 3.2.1 hievor; statt vieler: Alfred Kölz/Isabelle Häner, Verwaltungsverfahren und Verwaltungsrechtspflege des Bundes, 2. Aufl., Zürich 1998, N. 463 ff. mit Hinweisen). Dies rechtfertigt es, die Anforderungen an die Begründungsdichte bei Einspracheentscheiden in der Regel weniger hoch anzusetzen als bei Gerichtsentscheiden. 3.2.3 Ist jedoch die versicherte Person von dem in Aussicht stehenden Entscheid in starkem Masse betroffen (vgl. Georg Müller, a.a.O., Rz 114 mit Hinweisen, u.a. auf Mark E. Villiger, Die Pflicht zur Begründung von Verfügungen, in: ZBl 1989 S. 153 ff.), was regelmässig zu bejahen ist, wenn Dauerleistungen strittig sind, spricht dies grundsätzlich für eine erhöhte Begründungspflicht. Analoges gilt, wenn einer Behörde infolge Ermessen und unbestimmter Rechtsbegriffe ein Spielraum eingeräumt ist ( BGE 112 Ia 110 Erw. 2b mit Hinweisen). 3.2.4 Inhalt wie Umfang der Begründung richten sich schliesslich generell, mithin auch bei der Begründung von Einspracheentscheiden, nach der Komplexität des zu beurteilenden Sachverhaltes ( BGE 111 Ia 4 Erw. 4b). Je schwieriger die Sach- und Rechtslage (einschliesslich Beweislage) ist, desto höheren Anforderungen hat die Begründung zu genügen. Demgegenüber kann eine Begründung bei liquiden Verhältnissen kurz sein .“ 2.3.   Nel caso in esame la Cassa, nella decisione formale del 2 agosto 2006, ha motivato il rifiuto delle indennità di disoccupazione facendo riferimento principalmente al presupposto dell’adempimento del periodo di contribuzione minimo. Quale base legale sono infatti stati indicati gli articoli 13 e 23 LADI. Solamente alla fine del provvedimento l’amministrazione ha evidenziato che il ricorrente risultava iscritto a RC dal 2000 quale amministratore unico con diritto di firma individuale della __________ (cfr. doc. 35). Nonostante, poi, l’assicurato nell’opposizione abbia allegato esclusivamente elementi a sostegno della tesi secondo cui lui, durante il termine quadro di contribuzione in questione, avrebbe esercitato in modo regolare ed effettivo un’attività soggetta a contribuzione per un periodo ben superiore a dodici mesi (cfr. doc. 15), la Cassa nella decisione su opposizione del 18 settembre 2006, come rettamente sottolineato dall’insorgente, si è limitata a riprendere quanto indicato nella decisione formale senza assolutamente chinarsi sulle argomentazioni fatte valere dal ricorrente. L’amministrazione ha soltanto aggiunto in fine che dalle verifiche esperite a Registro di commercio è emerso che il ricorrente ricopriva ancora la carica di amministratore unico con diritto di firma individuale della __________ (cfr. doc. A). Soltanto con la risposta di causa al presente ricorso la Cassa, per confermare il proprio diniego del diritto dell’assicurato alle prestazioni, ha fatto esplicito riferimento agli art. 8 cpv. 1 lett. b e 31 cpv. 3 lett. c LADI, puntualizzando, in primo luogo, che, siccome il ricorrente era azionista e amministratore unico con firma individuale della __________, manteneva all’interno della ditta una posizione assimilabile a quella del datore di lavoro. In secondo luogo, che fintanto che manteneva tale posizione, doveva essergli negato il riconoscimento delle indennità di disoccupazione (cfr. doc. III). Alla luce di quanto appena esposto, questa Corte ritiene che in sede di opposizione e con l’emissione della decisione su opposizione la Cassa ha violato il diritto di essere sentito dell’assicurato. Infatti, da un lato, l’amministrazione non ha preso posizione su quanto addotto dal ricorrente nell’atto di opposizione circa l’esercizio di un’attività lavorativa soggetta a contribuzione di almeno dodici mesi nel periodo quadro di contribuzione. Dall’altro, all’assicurato non è stata data la possibilità di esprimersi con cognizione di causa in merito all’imputazione relativa alla posizione analoga a quella di un datore di lavoro all’interno della sua ex datrice di lavoro fatta valere dalla Cassa come ulteriore motivo per negargli il diritto alle prestazioni dell’assicurazione contro la disoccupazione. Di conseguenza la decisione su opposizione del 18 settembre 2006 impugnata deve essere annullata e gli atti rinviati alla Cassa, affinché, dopo aver dato l’opportunità al ricorrente di esprimersi in merito alla sua posizione in seno alla __________ nel periodo rilevante ai fini della presente vertenza, emetta una nuova decisione su opposizione dettagliatamente motivata. 2.4.   A titolo abbondanziale è utile in ogni caso evidenziare, dapprima, che secondo la giurisprudenza del Tribunale federale delle assicurazioni (TFA), per quanto concerne l’adempimento del periodo di contribuzione (cfr. art. 8 cpv. 1 lett. e LADI), l’art. 13 cpv. 1 LADI presuppone che l’assicurato abbia effettivamente esercitato un’attività soggetta a contribuzione. Non è necessario, ai fini dell’applicazione di tale articolo,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del 12 settembre 2005 nella causa A., C 274/04, pubblicata in DTF 131 V 444 e SVR 2006 ALV Nr. 8 pag. 27, il Tribunale federale delle assicurazioni ha stabilito, precisando la propria precedente giurisprudenza, che dal profilo del periodo di contribuzione, la sola condizione per il diritto all'indennità di disoccupazione è, di principio, l'esercizio di un'attività soggetta a tale obbligo durante il periodo minimo di contribuzione. La giurisprudenza esposta in DLA 2001 no. 27 pag. 225 (e le sentenze che ne sono seguite) non deve essere intesa nel senso che, in aggiunta a ciò, deve pure essere stato versato un salario; per contro, la prova che un salario è stato effettivamente pagato costituisce un indizio importante per la prova dell'esercizio effettivo di una attività dipendente. L’Alta Corte, in una sentenza del 19 dicembre 2006 nella causa M., C 267/05, ha accolto il ricorso di un assicurato al quale era stato negato il diritto all’indennità di disoccupazione, in particolare, perché non aveva reso verosimile che gli stipendi gli erano stati effettivamente versati. Il TFA ha ribadito che la prova della corresponsione di un salario non è decisiva e che la conclusione che lo stipendio non è stato erogato si impone solamente allorché è stabilito che l’assicurato ha totalmente rinunciato alla propria remunerazione. Nel caso esaminato dalla nostra Massima Istanza né i documenti agli atti, né le circostanze hanno permesso di concludere che vi fosse stata rinuncia al salario. Inoltre, questa Corte, in relazione al presupposto fondamentale per il riconoscimento del diritto alle indennità di disoccupazione secondo cui l’assicurato deve avere subito una perdita di lavoro computabile (cfr. art. 8 cpv. 1 lett. b), ricorda che, in una decisione pubblicata in DTF 123 V 234 il Tribunale federale delle assicurazioni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chiamata a pronunciarsi su una domanda di condono, in una decisione del 16 giugno 2003 nella causa G. (C 130/02), l'Alta Corte ha confermato il precedente giudizio cantonale e, in particolare, ha osservato che: (…)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 (…)" (STFA del 16 giugno 2003 nella causa G., C 130/02) In un altro caso ticinese, chiamato a pronunciarsi nel caso in cui un assicurato, vista la sua posizione analoga a quella di un datore di lavoro, ha dovuto restituire prestazioni ricevute indebitamente, il TFA ha confermato il precedente giudizio di questo Tribunale e ha sviluppato le seguenti considerazioni: (…) la precedente istanza ha quindi rettamente precisato che si è segnatamente in presenza di un errore manifesto allorquando vengono assegnate indennità di disoccupazione ad un lavoratore trovantesi in una posizione analoga a quella di un datore di lavoro e che, dopo essere stato licenziato, in elusione delle norme in materia di indennità per lavoro ridotto (art. 31 cpv. 3 lett. c LADI), continua a lavorare a tempo parziale e a determinare o comunque a influenzare in maniera rilevante le decisioni del datore di lavoro (sentenze del 6 luglio 2001 in re B. [C 274/99], I. [C 278/99] e O. [C 279/99], a contrario), nel caso di specie, gli accertamenti esperiti dai primi giudici hanno permesso di evidenziare non solo che l'insorgente - il cui nome e la cui attività coincidono con la ditta (art. 944, 950 CO) e con la ragione sociale della datrice di lavoro -, è (già) stato azionista maggioritario della società nonché, eccezione fatta per gli apprendisti, unico dipendente della stessa, ma anche che l'incarico di amministratore unico è stato trasferito dal ricorrente al sessantaseienne padre, S.________, autore dell'atto di licenziamento e contestuale riassunzione a tempo parziale del figlio come pure della risposta alla Cassa disoccupazione con la quale egli indicò di non essere a conoscenza degli azionisti della società, malgrado all'assemblea straordinaria del 31 ottobre 1997 fossero presenti tutte le azioni, stante quanto precede, si giustifica senz'altro di ritenere, insieme ai primi giudici, che il ricorrente abbia rivestito una posizione assimilabile a quella di un datore di lavoro anche in seguito alle sue dimissioni da amministratore unico ed alla disdetta - con contestuale riassunzione al 50% - del rapporto di lavoro, ed abbia così inteso, in elusione delle norme in materia di indennità per lavoro ridotto, alle quali l'interessato non avrebbe altrimenti potuto avere diritto (art. 31 cpv. 3 lett. c LADI; DTF 122 V 273 consid. 4), costruire una situazione giuridica suscettibile, a mente sua, di giustificare il riconoscimento di prestazioni assicurative (cfr. DLA 2000 no. 14 pag. 70 consid. 2), in tali condizioni, è a ragione che la Cassa e la Corte cantonale hanno ritenuto essere dati i presupposti per riconsiderare le decisioni informali con le quali all'assicurato sono state versate le indennità di disoccupazione e per domandarne la restituzione, (…)." (cfr. STFA del 15 luglio 2003 nella causa O., C 217/02)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poiché la perdita di lavoro non può essere verificata (al riguardo cfr. SVR 2005 ALV Nr. 13 pag. 43). A tale proposito in una sentenza del 10 novembre 2005 nella causa SECO c/ A., C 275/04, relativa a un caso ticinese, la nostra Massima Istanza ha osservato: (…) 3.3 Al riguardo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(DLA 2003 no. 22 pag. 242 consid. 4 [sentenza del 14 aprile 2003 in re F., C 92/02]).” (STFA del 10 novembre 2005 nella causa SECO c/ A., C 275/04, consid. 3.3) La situazione è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(cfr. STFA del 10 novembre 2005 nella causa SECO c/ A., C 275/04, consid. 3.2.; STFA del 7 giugno 2004 nella causa C., C 87/02). Circa la questione di sapere se un assicurato può determinare o influenzare risolutivamente le decisioni del datore di lavoro ai sensi dell'art. 31 cpv. 3 lett. c LADI, nella sentenza del 2 giugno 2004 nella causa N. (C 219/03), il TFA ha, tra l'altro, osservato che: (…) 2.4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als Verwaltungsrat, so ist eine massgebliche Entscheidungsbefugnis im Sinne von Art. 31 Abs. 3 lit. c AVIG bereits ex lege (vgl. Art. 716-716b OR) gegeben. Handelt es sich um einen mitarbeitenden Verwaltungsrat, so greift der persönliche Ausschlussgrund des Art. 31 Abs. 3 lit. c AVIG ohne weiteres Platz, und es bedarf diesfalls keiner weiteren Abklärungen im Sinne von BGE 120 V 525 f. Erw. 3b (BGE 122 V 272 Erw. 3 mit Hinweisen). Gemäss ARV 1996/1997 Nr. 10 S. 52 Erw. 3a und b spielen die Aufgabenbereiche und die interne Aufgabenteilung ebenso wenig eine Rolle wie der Umfang der Beteiligung. In jenem Fall wurde eine Anspruchsberechtigung verneint, obwohl das Leistungen beanspruchende Verwaltungsratsmitglied nur Kollektivunterschrift besass und lediglich mit 2% am Aktienkapital beteiligt war. (…)." (cfr. STFA del 2 giugno 2004 nella causa N., C 219/03) In questo contesto va pure rilevato che, sempre secondo la giurisprudenza federale, la posizione di socio gerente di una Sagl è equiparabile a quella di un membro del consiglio di amministrazione di una SA (cfr. STFA del 4 luglio 2005 nella causa M., C 270/04; STFA del 22 novembre 2002 nella causa R., C 37/02 e STFA del 30 agosto 2001 nella causa B., C 71/01). In una decisione, pubblicata in DLA 2004 N. 21, pag. 196, l'Alta Corte ha confermato che secondo la giurisprudenza relativa agli art. 31 cpv. 3 lett. c e 51 cpv. 2 LADI, i membri del consiglio d’amministrazione di una società esercitano, in virtù della legge, un potere determinante, pertanto non hanno diritto né all’indennità per lavoro ridotto, né all’indennità per insolvenza. Contestualmente il TFA ha, tra l’altro, sviluppato le seguenti considerazioni: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 21, consid. 3.2, pag. 198) 2.5.   Vincente in causa, il ricorrente, rappresentato da un avvocato, ha diritto a un'indennità per ripetibili da mettere a carico della Cassa resistente (cfr. art. 61 cpv. 1 lett. g LPGA). Per questi motivi, dichiara e pronuncia 1.   Il ricorso è accolto ai sensi dei considerandi. § La decisione su opposizione del 18 settembre 2006 è annullata e gli atti vengono rinviati alla Cassa CO 1 affinché proceda conformemente al consid. 2.3. 2.   Non si percepisce tassa di giustizia, mentre le spese sono poste a carico dello Stato. La Cassa CO 1 verserà all’assicurato l’importo di fr. 1'000.-- a titolo di ripetibili (IVA compresa).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