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38.2006.65 vom 19. Juli 2005</w:t>
      </w:r>
    </w:p>
    <w:p>
      <w:r>
        <w:t>TI Tribunale d'appello, 2005-07-19, IT</w:t>
      </w:r>
    </w:p>
    <w:p>
      <w:r>
        <w:rPr>
          <w:b/>
        </w:rPr>
        <w:t xml:space="preserve">Quelle: </w:t>
      </w:r>
      <w:r>
        <w:t>https://mcp.opencaselaw.ch/entscheid/ti_gerichte_38.2006.65_d20050719</w:t>
      </w:r>
    </w:p>
    <w:p>
      <w:r>
        <w:t>FR: TI_GERICHTE 38.2006.65 du 19 juillet 2005</w:t>
      </w:r>
    </w:p>
    <w:p>
      <w:r>
        <w:t>IT: TI_GERICHTE 38.2006.65 del 19 luglio 2005</w:t>
      </w:r>
    </w:p>
    <w:p>
      <w:pPr>
        <w:pStyle w:val="Heading2"/>
      </w:pPr>
      <w:r>
        <w:t>Regeste</w:t>
      </w:r>
    </w:p>
    <w:p>
      <w:r>
        <w:t>Nonostante fosse stata informata del guadagno intermedio conseguito dall'assicurato,la Cassa ha calcolato le indennità senza tenerne conto.Le prestazioni sono comuqnue state oggettivamente percepite a torto.L'ordine di restituzione è quindi corretto.La domanda di condono è irricevibile.</w:t>
      </w:r>
    </w:p>
    <w:p>
      <w:pPr>
        <w:pStyle w:val="Heading2"/>
      </w:pPr>
      <w:r>
        <w:t>Erwägungen</w:t>
      </w:r>
    </w:p>
    <w:p>
      <w:r>
        <w:rPr>
          <w:b/>
        </w:rPr>
        <w:t>E. 12</w:t>
      </w:r>
    </w:p>
    <w:p>
      <w:r>
        <w:t>marzo 2004 nella causa F., C 266/03, consid. 1;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In casu la decisione su opposizione contestata si limita unicamente a ordinare la restituzione di prestazioni. Non è, invece, stato emesso un provvedimento formale concernente il condono. Al riguardo va ribadito che l'autorità di ricorso può pronunciarsi su un determinato oggetto solo in presenza di una decisione emessa dall’organo competente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del 12 marzo 2004 nella causa F., C 226/03, pubblicata in DTF 130 V 388, il TFA ha, inoltre, stabilito che, anche sotto l’egida della LPGA, entrata in vigore il 1° gennaio 2003, l’emanazione di una decisione costituisce, nell’ambito della giurisdizione amministrativa contenziosa, un presupposto indispensabile per poter prolare un giudizio di merito nella susseguente procedura di ricorso amministrativo e di ricorso di diritto amministrativo. Il TFA ha inoltre rilevato che in assenza di una concretizzazione più precisa all'art. 49 cpv. 1 LPGA, la nozione di decisione coincide con quella dell'art. 5 cpv. 1 PA. Di conseguenza, relativamente alla richiesta di condono della restituzione di fr. 2'490.-- di cui all’atto di ricorso (cfr. doc. I), l’impugnativa deve essere dichiarata irricevibile. Pure irricevibili sono le richieste di verifica dell’operato della Cassa per altre questioni che esulano dal rimborso in relazione alle indennità di disoccupazione percepite nel mese di febbraio 2006 (cfr. doc. XI). Nel merito 2.3.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valida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I principi giurisprudenziali attinenti alla restituzione di prestazioni elaborati dal TFA anteriormente alla LPGA conservano tutta la loro validità anche sotto l’egida della LPGA (cfr. DTF 130 V 318 consid. 5). In particolare la giurisprudenza federale ha stabilito che conformemente ad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I 133/04, consid. 1.2.).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In una sentenza del 26 ottobre 2004 nella causa B. (C 185/01) l'Alta Corte ha ricordato che: " (...) 2.3  Nach Art. 95 Abs. 1 AVIG muss die Kasse Leistungen der Versicherung, auf die der Empfänger keinen Anspruch hatte, zurückfordern. Zu Unrecht bezogene Geldleistungen können jedoch nur dann zurückgefordert werden, wenn die Voraussetzungen einer prozessualen Revision oder Wiedererwägung gegeben sind (vgl. BGE 122 V 368 Erw. 3 und ARV 1998 Nr. 15 S. 79 Erw. 3b):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127 V 469 Erw. 2c mit Hinweisen)." (...)" 2.4.   RI 1 si è annunciato nuovamente per il collocamento a far tempo dal 1° dicembre 2005, ricercando un impiego a tempo pieno quale direttore di azienda, gerente di succursale, direttore acquisti e distribuzione (cfr. doc. 1, 3). La Cassa ha riconosciuto all’insorgente il diritto alle prestazioni dell’assicurazione contro la disoccupazione dal mese di dicembre 2005 (cfr. doc. 3). Per quanto concerne il mese di febbraio 2006, il ricorrente, compilando, il 1° marzo 2006, il formulario “Indicazioni della persona assicurata per il mese di febbraio 2006”, ha precisato di avere lavorato dal 1° al 28 febbraio 2006 presso la __________ e ha allegato il relativo ”Attestato di guadagno intermedio” da cui emerge che nel mese di riferimento ha percepito un salario lordo di fr. 3'150.--. Tali documenti sono pervenuti alla Cassa il 7 marzo 2006 (cfr. doc. 10). Dal conteggio del 16 marzo 2006 risulta, tuttavia, che la Cassa ha comunque versato all’assicurato per il periodo di controllo in questione le indennità di disoccupazione senza tenere conto del guadagno intermedio conseguito (cfr. doc. 10). La parte resistente, con decisione formale del 3 luglio 2006, ha poi ordinato la restituzione delle indennità giornaliere percepite in troppo nel mese di febbraio 2006 per complessivi fr. 2'490.-- (cfr. doc. 31). Tale provvedimento è stato confermato con decisione su opposizione del 7 agosto 2006 (cfr. doc. A). 2.5.   Nel caso di specie dalla documentazione agli atti non risulta che all’assicurato, prima dell’emanazione della decisione formale del 3 luglio 2006 sia stato ventilato l’ordine di restituzione, né che gli sia stata data la possibilità di prendere posizione in merito. Nell’ambito della precedente vertenza di cui all’inc. 38. 2006.49 il ricorrente ha però potuto indicare i motivi per i quali non ritiene corretto il provvedimento di restituzione davanti al TCA (cfr. doc. 33), il quale gode di pieno potere cognitivo. Il relativo verbale è stato trascritto nella sentenza del 19 luglio 2006. L’assicurato ha, pertanto, avuto l’opportunità di esprimersi riguardo all’ordine di rimborso precedentemente alla decisione su opposizione del 7 agosto 2006. In simili condizioni, questa Corte, alla luce dell'art. 29 cpv. 2 Cost. e dell’art. 42 LPGA, secondo cui il diritto di essere sentito deve essere garantito al più tardi durante la procedura di opposizione (cfr. STFA del 20 settembre 2006 nella causa IV-Stelle Bern c/ G., I 618/04; STFA del 30 settembre 2005 nella causa B., C 279/03; STFA del 23 giugno 2003 nella causa S., C 49/03; STFA del 22 dicembre 2003 nella causa J., H 272/03; STFA del 6 agosto 2002 nella causa C., C 91/02), deve concludere che tale diritto, in concreto, è stato ossequiato. 2.6. E’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dell'8 marzo 2004 nella causa A. e B., P 91/02, consid. 3.2.; STFA del 2 dicembre 2002 nella causa B., P 17/02; STFA del 16 maggio 2001 nella causa S., P 40/99; STFA del 20 ottobre 2000 nella causa C., C 25/00;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STFA del 12 marzo 2001 nella causa X., C 402/00, consid. 2; DTF 124 V 382 consid. 1). Nel caso in esame la Cassa, nonostante, come dalla stessa riconosciuto (cfr. doc. 31; A; IX), fosse stata correttamente informata dall’assicurato del guadagno intermedio conseguito, gli ha versato la somma di fr. 4'655.20, corrispondenti alle indennità giornaliere afferenti al mese di febbraio 2006 calcolate senza tenere conto del salario corrisposto dalla __________ (cfr. doc. 10). Procedendo in tal senso la Cassa ha commesso un errore manifesto. L’insorgente, inoltre, avendo già percepito la retribuzione da parte della ditta per la quale ha lavorato a tempo parziale nel mese in questione, ha ricevuto parte della somma di fr. 4'655.20 oggettivamente a torto. La rettifica del versamento sbagliato di tale importo effettuato dalla Cassa riveste, del resto, un’importanza particolare. L’assicurato non ha contestato l’importo chiesto in restituzione che da quanto si evince dalle carte processuali (cfr. doc. 10) risulta effettivamente corretto. Pertanto l’ordine di restituzione va confermato in quanto sono dati i presupposti per una riconsiderazione della decisione informale (cfr. consid. 2.3.) con cui la Cassa ha versato all’assicurato le indennità di disoccupazione relative al mese di febbraio 2006 (cfr. doc. 10). 2.7.   Il ricorrente, con scritto del 12 ottobre 2006, ha chiesto di assumere alcuni mezzi di prova, e meglio il proprio incarto dell’URC di __________, i propri incarti completi della Cassa CO 1 di __________ e di __________ a partire dal periodo 1° dicembre 2003, il tabulato della posta elettronica in entrata e uscita dai server della Cassa CO 1 di __________ e di __________, dell’URC di __________ dal mese di gennaio al mese di settembre 2006, l’audizione di alcuni funzionari dell’URC di __________, di alcuni dipendenti della Cassa e di un funzionario dell’Ufficio giuridico della Sezione del lavoro (cfr. doc. XI). Con la risposta di causa la parte resistente ha prodotto il suo incarto completo (cfr. doc. IX; 1-37). Ulteriori prove, visti i motivi che hanno portato alla reiezione del ricorso, appaiono superflue. Per cui questa Corte rinuncia alla loro assunzione. Al riguardo va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febbraio 2006 nella causa G., U 416/04 consid. 3.2.;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Alla luce di tutto quanto esposto, il TCA deve, dunque, confermare la decisione su opposizione impugnata. 2.9.   Va, infine, evidenziato che, come visto precedentemente (cfr. consid. 2.2.), questa Corte non può chinarsi sulla richiesta di condono, in quanto non oggetto della decisione querelata. Va, in ogni caso, ricordato che per costante giurisprudenza si giustifica pronunciare una decisione di condono solo al momento della crescita in giudicato formale della decisione di restituzione, visto che unicamente in quel caso tale obbligo è stabilito definitivamente. In simili circostanze gli atti vengono trasmessi alla Cassa affinché, una volta cresciuta in giudicato la presente sentenza, sottoponga la domanda di condono, per decisione, al Servizio cantonale (cfr. art. 95 LADI; 25 cpv. 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