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38.2006.62 vom 6. April 2006</w:t>
      </w:r>
    </w:p>
    <w:p>
      <w:r>
        <w:t>TI Tribunale d'appello, 2006-04-06, IT</w:t>
      </w:r>
    </w:p>
    <w:p>
      <w:r>
        <w:rPr>
          <w:b/>
        </w:rPr>
        <w:t xml:space="preserve">Quelle: </w:t>
      </w:r>
      <w:r>
        <w:t>https://mcp.opencaselaw.ch/entscheid/ti_gerichte_38.2006.62_d20060406</w:t>
      </w:r>
    </w:p>
    <w:p>
      <w:r>
        <w:t>FR: TI_GERICHTE 38.2006.62 du 6 avril 2006</w:t>
      </w:r>
    </w:p>
    <w:p>
      <w:r>
        <w:t>IT: TI_GERICHTE 38.2006.62 del 6 aprile 2006</w:t>
      </w:r>
    </w:p>
    <w:p>
      <w:pPr>
        <w:pStyle w:val="Heading2"/>
      </w:pPr>
      <w:r>
        <w:t>Regeste</w:t>
      </w:r>
    </w:p>
    <w:p>
      <w:r>
        <w:t>La domanda d'indennità per insolvenza è tardiva,poiché interposta dopo 60 giorni dalla pubblicazione del fallimento della ditta.I disposti della LPGA relativi alla sospensione dei termini non si applicano al termine materiale fissato dalla LADI per l'inoltro della domanda d'indennità per insolvenza.</w:t>
      </w:r>
    </w:p>
    <w:p>
      <w:pPr>
        <w:pStyle w:val="Heading2"/>
      </w:pPr>
      <w:r>
        <w:t>Erwägungen</w:t>
      </w:r>
    </w:p>
    <w:p>
      <w:r>
        <w:rPr>
          <w:b/>
        </w:rPr>
        <w:t>E. 3</w:t>
      </w:r>
    </w:p>
    <w:p>
      <w:r>
        <w:t>Streitig und zu prüfen ist der Anspruch auf Insolvenzentschädigung und in diesem Rahmen die Frage, ob dieser frist- und formgerecht geltend gemacht wurde.</w:t>
      </w:r>
    </w:p>
    <w:p>
      <w:r>
        <w:rPr>
          <w:b/>
        </w:rPr>
        <w:t>E. 3.1</w:t>
      </w:r>
    </w:p>
    <w:p>
      <w:r>
        <w:t>In tatsächlicher Hinsicht ist unbestritten und erstellt, dass die Beschwerdegegnerin, nachdem die Konkurseröffnung über die Arbeitgeberfirma am ... 2004 im Schweizerischen Handelsamtsblatt (SHAB) veröffentlicht worden war, einen Antrag auf Insolvenzentschädigung stellte, welcher am 6. Dezember 2004 bei der Arbeitslosenkasse eintraf. Diese verlangte mit Schreiben vom 16. Dezember 2004 die zusätzliche Einreichung von Kopien einer Wohnsitzbescheinigung der Gemeinde sowie der Lohnabrechnung vom Oktober 2004 mit dem Feriensaldo. Sie verband diese Aufforderung mit dem Hinweis, die zusätzlichen Unterlagen müssten bis 25. Januar 2005 zugestellt werden, da an diesem Datum die 60-tägige Frist zur Geltendmachung des Anspruchs (nach Art. 53 Abs. 1 AVIG) ablaufe. Die nicht fristgerechte Einlieferung der verlangten Dokumente führe zum ganzen oder teilweisen Verlust der Ansprüche gegenüber der Arbeitslosenversicherung. Nachdem die Unterlagen nicht eingetroffen waren, erging am 1. Februar 2005 die Leistungen verweigernde Verfügung.</w:t>
      </w:r>
    </w:p>
    <w:p>
      <w:r>
        <w:rPr>
          <w:b/>
        </w:rPr>
        <w:t>E. 3.2</w:t>
      </w:r>
    </w:p>
    <w:p>
      <w:r>
        <w:t>Weil das am 6. Dezember 2004 bei der Arbeitslosenkasse eingegangene Leistungsbegehren nicht alle für die Beurteilung des Anspruchs erforderlichen Unterlagen enthielt, hat die Kasse diese mit ihrem Schreiben vom 16. Dezember 2004 zu Recht nachgefordert. Angesichts des verbleibenden Zeitraums innerhalb der Frist von 60 Tagen gemäss Art. 53 Abs. 1 AVIG, welche gemäss den Berechnungen der Kasse am 25. Januar 2005 ablief, war es korrekt, dieses Datum als für die Wahrung des Anspruchs massgebenden Termin zu bezeichnen. Das Schreiben enthielt den von der Rechtsprechung verlangten klaren und unmissverständlichen Hinweis darauf, dass die Nichtbeachtung der Einreichungsfrist den Untergang möglicher Ansprüche bewirken könne. Der entsprechende Satz wurde durch Fettdruck und Unterstreichung optisch hervorgehoben. Unter diesen Umständen führt das nicht fristgerechte Einreichen der einverlangten Dokumente zur Verwirkung des Anspruchs auf Insolvenzentschädi-gung, sofern die 60-tägige Frist des Art. 53 Abs. 1 AVIG am 25. Januar 2005 endete, wie die Arbeitslosenkasse annimmt.</w:t>
      </w:r>
    </w:p>
    <w:p>
      <w:r>
        <w:rPr>
          <w:b/>
        </w:rPr>
        <w:t>E. 4</w:t>
      </w:r>
    </w:p>
    <w:p>
      <w:r>
        <w:t>4.1Die Frist nach Art. 53 Abs. 1 AVIG wurde durch die Veröffentli-chung der Konkurseröffnung über die Arbeitgeberfirma im SHAB vom ... 2004 eröffnet. Das kantonale Gericht hat unter Hinweis auf die Lehrmeinung von Urs Burgherr, Die Insolvenzentschädigung, Diss. Zürich 2004, S. 103, erwogen, gemäss Art. 38 Abs. 4 lit. c ATSG (in Verbindung mit Art. 1 AVIG) sei die Frist vom 18. Dezember 2004 bis 1. Januar 2005 still gestanden. Die Verwirkung hätte somit frühestens am 7. Februar 2005, also nach dem Erlass der Verfügung vom 1. Februar 2005, eintreten können. Die Beschwerde führende Arbeitslosenkasse und mit ihr das seco vertreten demgegenüber die Auffassung, der Stillstand nach Art. 38 Abs. 4 ATSG gelte für die Frist gemäss Art. 53 Abs. 1 AVIG nicht.</w:t>
      </w:r>
    </w:p>
    <w:p>
      <w:r>
        <w:rPr>
          <w:b/>
        </w:rPr>
        <w:t>E. 4.2</w:t>
      </w:r>
    </w:p>
    <w:p>
      <w:r>
        <w:t>Gemäss Art. 1 ATSG koordiniert dieses Gesetz das Sozialversi-cherungsrecht des Bundes, indem es unter anderem (lit. b am Anfang) ein einheitliches Sozialversicherungsverfahren festlegt. Diesem Zweck dient der die Art. 34-55 umfassende 2. Abschnitt "Sozialversicherungsverfahren" des vierten Kapitels "Allgemeine Verfahrensbestimmungen" (Art. 27-62 ATSG). Mit den darin enthaltenen Art. 38-41 ATSG wurden im Wesentlichen die Fristbestimmungen gemäss Art. 20-24 des Bundesgesetzes über das Verwaltungsverfahren (VwVG) auch für jene Bereiche des Sozialversicherungsverfahrens übernommen, in welchen sie zuvor nicht ohne weiteres gültig gewesen waren (vgl. dazu Ueli Kieser, ATSG-Kommentar, Zürich 2003, S. 555 Art. 55 Rz 13; derselbe, Das Verwaltungsverfahren in der Sozialversicherung, Zürich 1999, S. 129 Rz 284 ff.). Entsprechend ihrer Funktion, das sozialversicherungs-rechtliche Verwaltungsverfahren zu regeln, beziehen sich die Fristbestimmungen des ATSG (ebenso wie diejenigen des VwVG [ BGE 102 V 116 Erw. 2b] und des OG [ BGE 101 II 88 Erw. 2]) einzig auf die verfahrensrechtlichen Fristen, nicht aber auf jene des materiellen Rechts. Die Anwendbarkeit von Art. 38 Abs. 4 ATSG hängt demzufolge davon ab, ob die in Frage stehende Frist materiell- oder verfahrensrechtlichen Charakter hat. Dies entscheidet sich danach, ob die Nichteinhaltung der Frist die konkreten materiellrechtlichen Beziehungen beeinflusst oder ob sie sich stattdessen verfahrensrechtlich auswirkt, indem ein in unveränderter Weise bestehender Anspruch nicht mehr gleichermassen geltend gemacht werden kann (RKUV 2005 Nr. KV 337 S. 297 Erw. 3.5 mit Hinweisen [= Urteil Z. vom 28. Juli 2005, K 26/05]).</w:t>
      </w:r>
    </w:p>
    <w:p>
      <w:r>
        <w:rPr>
          <w:b/>
        </w:rPr>
        <w:t>E. 4.3</w:t>
      </w:r>
    </w:p>
    <w:p>
      <w:r>
        <w:t>Laut Art. 53 Abs. 3 AVIG erlischt mit dem Ablauf der 60-tägigen Frist der Anspruch auf Insolvenzentschädigung. Entsprechend dem Verwirkungscharakter der Frist ( BGE 123 V 107 Erw. 2a; ARV 2002 S. 187 Erw. 1a; Thomas Nussbaumer, Arbeitslosenversicherung, in: Schweizerisches Bundesverwaltungsrecht [SBVR], Soziale Sicherheit, Stand Frühjahr 1998, S. 193 Rz 515) geht unter Vorbehalt einer allfälligen Wiederherstellung der Anspruch als solcher unter. Er existiert nicht mehr (Gerhard Gerhards, Kommentar zum Arbeitslosenversicherungsgesetz [AVIG], Band I, Bern 1987, S. 569, Rz 19 zu Art. 53; Beatrice Grob-Andermacher, Die Rechtslage des Arbeitnehmers bei Zahlungsunfähigkeit und Konkurs des Arbeitgebers, Diss. Zürich 1982, S. 117; vgl. auch Hans-Ulrich Stauffer, Die Arbeitslosenversicherung, Zürich 1984, S. 180; Urs Burgherr, Die Insolvenzentschädigung, Diss. Zürich 2004, S. 103; Boris Rubin, Assurance-chômage, Delémont 2005, S. 356). Die Frist nach Art. 53 Abs. 1 AVIG beschlägt somit nicht die verfahrens-, sondern die materiellrechtliche Ebene. Dies hat zur Folge, dass der Fristenstillstand nach Art. 38 Abs. 4 ATSG keine Anwendung findet (in diesem Sinn auch Edgar Imhof/Christian Zünd, ATSG und Arbeitslosenversicherung, SZS 2003 S. 291 ff., 309, und allgemein zu den im AVIG festgesetzten Fristen Ueli Kieser, Arbeitslosenversiche-rung und Allgemeiner Teil des Sozialversicherungsrechts, ARV 2004 S. 1 ff., 5). Der in diesem Punkt abweichenden Lehrmeinung (Urs Burgherr, Die Insolvenzentschädigung, Diss. Zürich 2004, S. 103), auf welche sich das kantonale Gericht stützte, kann nicht gefolgt werden.</w:t>
      </w:r>
    </w:p>
    <w:p>
      <w:r>
        <w:rPr>
          <w:b/>
        </w:rPr>
        <w:t>E. 4.4</w:t>
      </w:r>
    </w:p>
    <w:p>
      <w:r>
        <w:t>Die Berechnung ohne Berücksichtigung des Fristenstillstandes führt zum Ergebnis, dass der Anspruch auf Insolvenzentschädigung verwirkt ist. Die Verwaltungsgerichtsbeschwerde ist dementspre-chend gutzuheissen." Secondo l'Alta Corte le disposizioni relative alla sospensione dei termini riguardano dunque soltanto i termini procedurali, non invece quelli materiali come quello contenuto nell'art. 53 cpv. 1 LADI. Pertanto, in applicazione della recente giurisprudenza federale che ha definitivamente chiarito la questione, il TCA non può che confermare la decisione su opposizione con la quale la Cassa ha ritenuto tardiva la domanda d'indennità per insolvenza inoltrata dall'assicurato.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