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38.2005.73 vom 21. April 2005</w:t>
      </w:r>
    </w:p>
    <w:p>
      <w:r>
        <w:t>TI Tribunale d'appello, 2005-04-21, IT</w:t>
      </w:r>
    </w:p>
    <w:p>
      <w:r>
        <w:rPr>
          <w:b/>
        </w:rPr>
        <w:t xml:space="preserve">Quelle: </w:t>
      </w:r>
      <w:r>
        <w:t>https://mcp.opencaselaw.ch/entscheid/ti_gerichte_38.2005.73_d20050421</w:t>
      </w:r>
    </w:p>
    <w:p>
      <w:r>
        <w:t>FR: TI_GERICHTE 38.2005.73 du 21 avril 2005</w:t>
      </w:r>
    </w:p>
    <w:p>
      <w:r>
        <w:t>IT: TI_GERICHTE 38.2005.73 del 21 aprile 2005</w:t>
      </w:r>
    </w:p>
    <w:p>
      <w:pPr>
        <w:pStyle w:val="Heading2"/>
      </w:pPr>
      <w:r>
        <w:t>Regeste</w:t>
      </w:r>
    </w:p>
    <w:p>
      <w:r>
        <w:t>Va confermata la decisione di restituzione emessa da una cassa che ha chiesto all'assicurato il rimborso delle prestazioni versategli manifestamente a torto, vista la sua posizione analoga a quella di un datore di lavoro</w:t>
      </w:r>
    </w:p>
    <w:p>
      <w:pPr>
        <w:pStyle w:val="Heading2"/>
      </w:pPr>
      <w:r>
        <w:t>Erwägungen</w:t>
      </w:r>
    </w:p>
    <w:p>
      <w:r>
        <w:rPr>
          <w:b/>
        </w:rPr>
        <w:t>E. 30</w:t>
      </w:r>
    </w:p>
    <w:p>
      <w:r>
        <w:t>agosto 2005 nella causa M. (C 129/05), ha peraltro sviluppato le seguenti considerazioni: " (…) 2.1 Nach Art. 81 Abs. 2 lit. a AVIG unterbreitet die Kasse einen Fall der kantonalen Amtsstelle zum Entscheid, wenn Zweifel bestehen, ob der Versicherte anspruchsberechtigt ist. Die kantonale Amtsstelle wird demnach verpflichtet, über die Vermittlungsfähigkeit eine auf Feststellung lautende Verfügung zu erlassen, wenn die Arbeitslosenkasse das Zweifelsfallverfahren eingeleitet hat (BGE 126 V 399). Ob die Kasse so vorgeht, obliegt ihrem pflichtgemässen Ermessen. Betrachtet sie die Anspruchsvoraussetzung der Vermittlungsfähigkeit als nicht gegeben, bleibt sie zum Erlass einer leistungsablehnenden Verfügung zuständig. Ob die zu Grunde gelegte Auffassung fehlender Vermittlungsfähigkeit zutrifft, ist in einem vom Betroffenen einzuleitenden Beschwerdeverfahren gerichtlich zu überprüfen. Aus Art. 81 Abs. 2 lit. a AVIG kann daher nicht abgeleitet werden, dass der Versicherte die Durchführung des Zweifelsfallverfahrens verlangen könnte. Mit dessen Einrichtung schuf der Gesetzgeber weder ein neues Rechtsmittel, noch eine besondere Zuständigkeitsregel, sondern ein verwaltungsinternes Instrument, um die einheitliche Anwendung des Rechts zu gewährleisten. Die Arbeitslosenkassen überweisen einen Fall nur dann an die kantonale Amtsstelle, wenn sie Zweifel an der Vermittlungsfähigkeit des am Recht stehenden Versicherten haben. Bestehen jedoch keine derartigen Zweifel, können die Kassen selbstständig verfügen. (…)." (cfr. STFA del 30 agosto 2005 nella causa M., C 129/05) Di conseguenza la Cassa di disoccupazione era legittimata ad emettere le decisione di restituzione tanto più che essa ha precisato di non ritenere realizzato il presupposto dell’art. 8 cpv. 1 lett. b LADI e non quello dell’art. 8 cpv. 1 lett. f LADI sull’idoneità al collocamento (cfr. consid. 1.4 e 2.3). 2.2.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L'art. 95 LADI, nella versione valida fino al 31 dicembre 2002, prevedeva che la cassa è tenuta ad esigere il rimborso delle prestazioni dell'assicurazione contro la disoccupazione alle quali il beneficiario non aveva diritto e che il rimborso è condonato se la riscossione è avvenuta in buona fede e se esso cagionasse un grave rigore. Secondo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Lart. 53 cpv. 2 LPGA stabilisce che l’assicuratore può tornare sulle decisioni o sulle decisioni su opposizione formalmente passate in giudicato se è provato che erano manifestamente errate e se la loro rettifica ha una notevole importanza. I principi giurisprudenziali attinenti alla restituzione di prestazioni elaborati dal TFA anteriormente alla LPGA conservano tutta la loro validità anche sotto l’egida della LPGA (cfr. DTF 130 V 318 consid. 5). L’amministrazione può dunque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tramite l’emissione di una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2.3.   Fondamentale presupposto per il riconoscimento del diritto all'indennità di disoccupazione è, tra l'altro, che l'assicurato abbia subito una perdita di lavoro computabile (cfr. art. 8 cpv. 1 lett. b che rinvia a sua volta all’art. 11 LADI). In una sentenza del 4 luglio 2005 nella causa M. (C 270/04)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riassunto la propria giurisprudenza ed ha, in particolare, sottolineato che: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 3. 3.1 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3.2 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(cfr. STFA del 4 luglio 2005 nella causa M., C 270/04) In un’altra sentenza del 10 novembre 2005 nella causa A. (C 275/04), il TFA ha ribadito che, per poter beneficiare del diritto alle indennità, il lavoratore dipendente, che si trova in una posizione assimilabile a quella di un datore di lavoro, deve lasciare definitivamente la ditta a seguito della sua chiusura e/o interrompere ogni legame con la società. L’Alta Corte ha, tra l’altro, sviluppato le seguenti considerazioni: " (…) 3.3 Al riguardo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(DLA 2003 no. 22 pag. 242 consid. 4 [sentenza del 14 aprile 2003 in re F., C 92/02]). Inoltre, fintanto che un dirigente mantiene dei legami con la sua società, non soltanto è impossibile controllare la perdita di lavoro che subisce, ma esiste pure la possibilità che egli decida di perseguire lo scopo sociale (DLA 2002 no. 28 pag. 183 [sentenza del 19 marzo 2002 in re S., C 373/00]; sentenza del 22 novembre 2002 in re R., C 37/02). In tal caso, a prescindere da un esame a posteriori delle circostanze - comunque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(DLA 2003 no. 22 pag. 242 consid. 4 [sentenza del 14 aprile 2003 in re F., C 92/02]). 3.4 Per stabilire se un impiegato sia membro di un organo decisionale supremo di un'azienda e per tale motivo escluso dal diritto a indennità per lavoro ridotto, rispettivamente dal diritto a indennità di disoccupazione, deve essere esaminato di quali poteri decisionali egli disponga sulla base della struttura aziendale interna (DTF 120 V 521; DLA 2004 no. 21 pag. 198 consid. 3.2 [sentenza del 24 marzo 2004 in re P, C 113/03]). Non sono per contro decisivi i soli criteri formali quali, segnatamente, l'appartenenza al consiglio d'amministrazione o il conferimento di una procura o di un altro mandato commerciale, di modo che possono di principio essere esclusi dall'indennità di disoccupazione anche dipendenti che non detengono formalmente un diritto di firma e non sono iscritti a registro di commercio né come amministratori né come organi dirigenti, ma che di fatto esercitano un'influenza determinante sulle decisioni della società (cfr. DTF 122 V 272 consid. 3, 120 V 525 consid. 3b; SVR 1997 AlV no. 101 pag. 309). 3.5 L'insieme delle circostanze agli atti induce a pensare che quantomeno il rischio di pagamento abusivo di indennità di disoccupazione in favore di una persona che riveste una posizione professionale paragonabile a quella di un datore di lavoro si realizza nel caso di specie. In effetti, le tavole processuali evidenziano come l'assicurato, cofondatore della società e per una decina di anni sedente nel suo consiglio di amministrazione - quale presidente prima e amministratore unico in seguito -, da alcuni anni risultasse esserne l'unico dipendente, l'unico responsabile tecnico e amministrativo come pure l'unica persona in grado di perseguire e realizzare lo scopo sociale. Dalle stesse emerge in particolare come le sue competenze spaziassero dalla progettazione all'allestimento dei capitolati, dalla direzione lavori alle liquidazioni, dalla conclusione e disdetta di contratti di lavoro alla presa di contatto con i clienti ecc. Per parte sua, l'amministratore unico T.________, che l'assicurato ha indicato occuparsi "solamente della contabilità" e che per giunta amministra(va) già oltre 70 società, ha precisato di essere (stato) responsabile delle questioni finanziarie e della direzione insieme con A.________ (cfr. verbale di audizione 25 novembre 2004 di T.________ dinanzi al Presidente del Tribunale cantonale delle assicurazioni, pag. 2). In tali circostanze, l'assicurato - che anche dopo il licenziamento ha continuato, senza troppo aspettare (cfr. verbale di audizione 25 novembre 2004 di T.________, pag. 3), a svolgere importanti funzioni operative, a locare alla S.________ SA i locali di sua proprietà e a utilizzare l'autovettura intestata alla società prima che questa venisse, per il 1° gennaio 2004, intestata a suo nome -, pur non essendo formalmente organo esecutivo della società, godeva di una larga autonomia nell'organizzazione e impostazione del lavoro. In considerazione delle peculiarità della società in questione - di modeste dimensioni e senza diversificazione strutturale interna - e delle competenze molto estese dell'interessato, si può pertanto ben ritenere che quest'ultimo non fosse un semplice impiegato, bensì detenesse facoltà gestionali al più alto livello dell'azienda che gli consentivano di partecipare in prima persona alla formazione della volontà sociale (DTF 120 V 525 consid. 3b). Di conseguenza, ben si può concludere, alla luce della giurisprudenza in materia e insieme al seco, che l'interessato si trovava in una posizione assimilabile a quella di un datore di lavoro. Per il resto, contrariamente a quanto intende dedurne A.________, gli atti mostrano chiaramente come egli, in seguito alla disdetta del suo contratto, non abbia interrotto ogni legame con la società, ma abbia al contrario continuato a svolgere importanti attività per essa, quali ad es. l'esecuzione delle stime peritali per la Banca X.________ e l'Ufficio esecuzioni e fallimenti di F.________ nonché i contatti con la clientela per l'assunzione dell'ampliamento della stazione di servizio di A.________. Avendo egli mantenuto degli stretti legami con la S.________ SA, comprovati peraltro anche dal fatto che il numero di telefono dell'ufficio della società era deviato sul suo numero natel, anch'esso intestato alla S.________ SA, risultava impossibile controllarne la perdita di lavoro effettivamente subita (v. consid. 3.3). Motivo per il quale si giustifica di applicare la giurisprudenza in materia denegante il diritto alle indennità di disoccupazione (consid. 3.1). (…)." (cfr. STFA del 10 novembre 2005 nella causa A., C 275/04) Per costante giurisprudenza federale,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L’Alta Corte ha osservato che la questione relativa alla situazione dell’assicurato in una posizione paragonabile a quella di un datore di lavoro, il quale, benché formalmente licenziato continua a determinare le decisioni del datore di lavoro o a influenzarle in maniera decisiva, può, tra l’altro “(…) essere di rilievo per valutare l’aspetto della controllabilità e computabilità della perdita di lavoro (art. 8 cpv. 1 lett. b LADI; DTF 126 V 126 consid. 2, 123 V 237 segg. consid. 7b/bb; DLA 2004 no. 24 pag. 262 consid. 2) (…).” (cfr. STFA del 17 ottobre 2005 nella causa F.; C 1/05, consid. 1.3). La situazione è invece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Infatti, il TFA vuole, da una parte, evitare una possibile elusione della legge e, dall'altra parte, impedire che un assicurato possa beneficiare indebitamente delle indennità di disoccupazione.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SVR 2004 ALV Nr. 15 e a contrario STFA del 16 settembre 2004 nella causa E., C 71/04). 2.4.   Nell’evenienza concreta dagli atti di causa risulta che l’assicurato si è iscritto al collocamento il 2 aprile 2004 e che dal 5 aprile 2004 ha rivendicato il versamento di indennità di disoccupazione (cfr. doc. 1 e 2). L’assicurato ha lavorato quale produttore cinematografico/regista dal 1° luglio 2001 al 31 gennaio 2004 presso la __________ (cfr. doc. 3 punto 2 e 3). Per questa società l’assicurato ha rivestito, dalla sua data di iscrizione, il 22 giugno 2001, fino al 19 aprile 2004 la carica di socio gerente con diritto di firma individuale e una quota di fr. 19'000.-- su un capitale sociale di fr. 20'000.-- (cfr. doc. 7). Dal 20 aprile 2004 la mamma dell’assicurato figura iscritta a Registro di Commercio (RC) quale socia gerente con diritto di firma individuale e una quota di fr. 19'000.-- (cfr. doc. 7). Il padre dell’assicurato è sempre stato iscritto a RC quale socio senza diritto di firma e una quota di fr. 1'000.-- (cfr. doc. 7). I genitori dell’assicurato non sono mai stati dipendenti della ditta la quale, solo nel 2003, ha avuto, per brevi periodi (meglio per i seguenti periodi: dal 1.1.2003 al 30.04.2003, dal 1.2.2003 al 31.5.2003 e dal 25.10.2003 al 30.10.2003) altri tre dipendenti oltre al ricorrente (cfr. doc. 8). Il 31 gennaio 2004 è stata significata all’assicurato una lettera di disdetta, firmata da suo padre, del seguente tenore: " (…) visto le attuali difficoltà ad operare nel settore dell’audiovisivo, come già espressoti più volte, sono dispiaciuto nel comunicarti il tuo congedo quale dipendente della __________ e di conseguenza pure quale socio. Al momento attuale non vedo vie d’uscita a questa imbarazzante situazione e preferisco, spero di comune accordo, interrompere questa nostra collaborazione. (…)." (cfr. doc. 4) Questo Tribunale ritiene che esistano, nel caso concreto, gli estremi per applicare la giurisprudenza federale atta ad impedire l’ottenimento abusivo di indennità di disoccupazione per i seguenti motivi. Al momento della disdetta l’assicurato rivestiva una posizione analoga a quella di un datore di lavoro (socio gerente con diritto di firma individuale della Sagl sua ex datrice di lavoro). Suo padre (semplice socio senza diritto di firma) nemmeno poteva sottoscrivere validamente la lettera di licenziamento. La madre dell’assicurato (che non ha mai lavorato per la ditta) ha assunto la posizione sino ad allora rivestita da suo figlio (socia gerente con diritto di firma individuale e una quota di fr. 19'000.--). Ora, viste le caratteristiche della ditta in questione – di modeste dimensioni e senza diversificazione strutturale interna – e considerato che, ritenuta la qualifica di produttore cinematografico/regista, l’assicurato era l’unico in grado di svolgere lo scopo della società, bisogna concludere che il ricorrente, anche dopo il suo licenziamento, ha mantenuto una posizione analoga a quella di un datore di lavoro in seno a una società solo formalmente diretta e in mano ai suoi genitori. Del resto il TFA, in una decisione pubblicata in RDAT I - 1994 N. 79 pag. 205, ha confermato la decisione con la quale questo Tribunale ha ritenuto inidoneo al collocamento un amministratore di una SA licenziatosi e sostituito dalla figlia. In quel caso l’Alta Corte ha, in particolare, rilevato che: " (…) Al giudizio in lite si deve prestare adesione pure nella misura in cui ha considerato non essere il ricorrente idoneo al collocamento: in effetti, come giustamente ritenuto dai primi giudici, si può dedurre dagli atti che l’assicurato, pur avendo designato la propria figlia a succedergli quale amministratrice della ditta G. SA, doveva essere ritenuto ancora amministratore della ditta medesima. Si deve ammettere, con i giudici di prime cure e l’amministrazione, che l’assicurato abbia voluto costruire una situazione giuridica suscettibile, a mente sua, di giustificare il riconoscimento di prestazioni assicurative. (…)." Nella sua posizione di persona in grado di determinare la volontà del datore di lavoro l’assicurato non ha infine interrotto ogni legame con la società sua ex datrice di lavoro la quale non è stata chiusa e continua a esistere (cfr. estratto relativo alla __________ facilmente reperibile all’indirizzo www.zefix.ch ). Infatti, il sito internet della __________ indica ancora l’assicurato quale persona di riferimento. Il ricorrente lo ha aggiornato aggiungendovi un film (da lui girato, montato e terminato nel 2003) proiettato nell’edizione 2004 del Festival Internazionale del film di __________. Inoltre, nel mese di dicembre 2004, l’assicurato ha lavorato per la __________ conseguendo un guadagno intermedio di fr. 900.-- (cfr. doc. 6). In questo contesto assume pure un particolare rilievo anche la circostanza che il numero di telefono privato (__________), indicato dall’assicurato nella sua domanda d’indennità di disoccupazione, è identico a quello della __________ sua ex datrice di lavoro (cfr. 2 e 3). Va pure rilevato che, quale ulteriore comprova dell’estensione delle sue competenze, gli avvisi di addebito concernenti il pagamento del salario mensile dell’assicurato sono stati inviati dall’istituto bancario incaricato alla __________ indicando il nome del ricorrente e il suo indirizzo dapprima via __________, __________ e in seguito via __________ (cfr. doc. 3). In simili circostanze, visto tutto quanto precede e conformemente alla giurisprudenza citata (cfr. consid. 2.3), questo Tribunale deve concludere che la Cassa è incorsa in un errore manifesto allorquando ha versato all’assicurato, durante i periodi da aprile a dicembre 2004, le indennità di disoccupazione nonostante egli rivestisse ancora una posizione analoga ad un datore di lavoro e non avesse interrotto ogni legame con la società sua ex datrice di lavoro (cfr. in questo senso anche la STFA del 15 luglio 2003 nella causa O., C 217/02). Di conseguenza, date le premesse per una riconsiderazione (errore manifesto e importanza della rettifica) delle decisioni materiali con le quali all’assicurato sono state versate le indennità di disoccupazione da aprile a dicembre 2004, è a ragione che la Cassa ha chiesto al ricorrente la restituzione dell’importo (nel suo ammontare corretto e non contestato; cfr. doc. 13) di fr. 26'202.50 per prestazioni ricevute indebitamente. Infine il TCA sottolinea che il presente caso non è paragonabile a quello deciso dal TFA nella sentenza del 13 giugno 2005 nella causa C. (C244/04) visto che in quella fattispecie il padre era iscritto a RC quale unico titolare della ditta e suo figlio neppure era in grado di determinare la volontà della ditta sua ex datrice di lavoro. Nel presente caso l’assicurato è stato iscritto quale socio gerente con diritto di firma individuale ed è in grado di svolgere lo scopo della società. In quell’occasione l’Alta Corte ha sviluppato, in particolare, le seguenti considerazioni: " (…) 2.2 Art. 31 Abs. 3 lit. c AVIG , um dessen analoge Anwendung es geht, schliesst nur arbeitgeberähnliche Personen selbst sowie deren im Betrieb mitarbeitende Ehegatten vom Anspruch auf Arbeitslosenentschädigung aus, nicht jedoch andere Verwandte von arbeitgeberähnlichen Personen. Dass der Beschwerdegegner Sohn des Geschäftsinhabers S.________ ist, reicht somit für die Verneinung eines Leistungsanspruchs gegenüber der Arbeitslosenversicherung nicht aus. Vielmehr müsste der Sohn selbst eine arbeitgeberähnliche Stellung einnehmen. Die in Erw. 2.1 hievor genannten Indizien weisen wohl darauf hin, dass der Versicherte im Betrieb seines Vaters dank der verwandtschaftlichen Bande eine bevorzugte Stellung geniesst, indem er beispielsweise jeweils im Frühling wieder in die Firma einsteigen und einen höheren als den marktüblichen Lohn beziehen kann. Diese Vorteile weisen jedoch nicht eindeutig darauf hin, dass der Sohn faktisch die Möglichkeit hätte, die Geschicke des Betriebes zu beeinflussen. Dies aber - und nicht der Genuss arbeitsvertraglicher Vorteile - ist ausschlaggebend für die Frage, ob eine arbeitgeberähnliche Stellung vorliegt. Alleiniger, im Handelsregister eingetragener Betriebsinhaber ist der Vater, der auch als einzige Person unterschriftsberechtigt ist. Dass der Versicherte dereinst das Geschäft übernehmen soll, ist kein Beleg dafür, dass er heute schon arbeitgeberähnliche Einflüsse ausübt. Der Bezug eines hohen Lohnes, die Angabe der Mail-Adresse des Versicherten auf der Homepage der Firma und eine auf ihn lautende Telefonnummer weisen ebenfalls nicht nach, dass der Beschwerdegegner im Sinne eines faktischen Organs in der väterlichen Unternehmung massgebliche Entscheidungen träfe. Auch die Tatsache, dass der Vorname des Versicherten mit dem Buchstaben C  im Firmenlogo erscheint, drückt noch keine beherrschende Stellung des Sohnes in der Firma aus. Nach dem Gesagten ist daher die arbeitgeberähnliche Stellung des Beschwerdegegners nicht ausgewiesen. (…)." (cfr. STFA del 13 giugno 2005 nella causa C., C 244/04) La decisione su opposizione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