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38.2005.58 vom 21. März 2005</w:t>
      </w:r>
    </w:p>
    <w:p>
      <w:r>
        <w:t>TI Tribunale d'appello, 2005-03-21, IT</w:t>
      </w:r>
    </w:p>
    <w:p>
      <w:r>
        <w:rPr>
          <w:b/>
        </w:rPr>
        <w:t xml:space="preserve">Quelle: </w:t>
      </w:r>
      <w:r>
        <w:t>https://mcp.opencaselaw.ch/entscheid/ti_gerichte_38.2005.58_d20050321</w:t>
      </w:r>
    </w:p>
    <w:p>
      <w:r>
        <w:t>FR: TI_GERICHTE 38.2005.58 du 21 mars 2005</w:t>
      </w:r>
    </w:p>
    <w:p>
      <w:r>
        <w:t>IT: TI_GERICHTE 38.2005.58 del 21 marzo 2005</w:t>
      </w:r>
    </w:p>
    <w:p>
      <w:pPr>
        <w:pStyle w:val="Heading2"/>
      </w:pPr>
      <w:r>
        <w:t>Regeste</w:t>
      </w:r>
    </w:p>
    <w:p>
      <w:r>
        <w:t>Rientra nel normale rischio aziendale e non é computabile una perdita di lavoro dovuta a una momentanea diminuzione dello stesso. Questa circostanza può colpire qualsiasi ditta. Inoltre, in casu, le difficoltà duravano da anni e lo sviluppo in questo periodo é stato discontinuo. Flessione &lt; al 25%.</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31 maggio 2005 con la quale è stata confermata l'opposizione sollevata contro il pagamento delle indennità per lavoro ridotto fatto valere dalla ditta ricorrente per il periodo dal 1° marzo al 31 maggio 2005),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2 dicembre 2004 nella causa L.C. SA, C 264/03;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una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In un'altra sentenza del 2 dicembre 2004 nella causa L.C. SA (C 264/03), il Tribunale federale delle assicurazioni sociali (TFA)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decisione del 4 dicembre 2003 nella causa F. (C 8/03) il TFA ha ritenuto che, nel caso di una ditta attiva nel settore delle costruzioni, una diminuzione della consistenza degli incarichi (Auftragsbestand), del 42%, riconducibile al rinvio dei lavori di uno, due mesi e a volte più di un anno, non è computabile e rientra nel normale rischio aziendale del datore di lavoro. In quell’occasione l’Alta Corte ha ribadito che questa giurisprudenza vale analogamente anche per le imprese attive in un settore correlato con l’edilizia (Baunebengewerbe) e, in particolare, ha sviluppato le seguenti considerazioni: " (…) 3. Streitig und zu prüfen ist, ob die Beschwerdeführerin unter dem Gesichtspunkt der Anrechenbarkeit des Arbeitsausfalls ab 16. September 2002 eine der Anspruchsvoraussetzungen für Kurzarbeitsentschädigung erfüllt. Das kantonale Gericht hat die vorliegend massgeblichen Bestimmungen und Grundsätze über den Anspruch auf Kurzarbeitsentschädigung (Art. 31 Abs. 1 AVIG), den anrechenbaren Arbeitsausfall (Art. 31 Abs. 1 lit. b in Verbindung mit Art. 32 Abs. 1 lit. a AVIG) sowie die Voraussetzungen, unter denen die Anrechenbarkeit eines Arbeitsausfalls zu verneinen ist (Art. 33 Abs. 1 lit. b AVIG; BGE 121 V 374 Erw. 2a, 119 V 358 Erw. 1a, 499 Erw. 1) zutreffend dargelegt. Gleiches gilt hinsichtlich der Rechtsprechung, wonach Verschiebungen von Terminen auf Wunsch von Auftraggebern oder allenfalls auch aus anderen Gründen, die von den mit der Ausführung von Arbeiten beauftragten Unternehmen nicht zu verantworten sind, im Baugewerbe nichts Aussergewöhnliches darstellen, weshalb die dadurch verursachten Arbeitsausfälle nicht anrechenbar sind (ARV 1993/1994 Nr. 35 S. 244). Darauf wird verwiesen. Zu ergänzen ist, dass die letztgenannte Praxis zwar vor dem Hintergrund einer guten Konjunktur- und Beschäftigungslage entwickelt wurde,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(Urteil W. vom 30. April 2001 Erw. 3a, C 244/99). Der wegen der seit langem generell schlechten wirtschaftlichen Lage des Bausektors entstehende Arbeitsausfall, der eine Baufirma zwingt, sich dem Willen der verschiedenen Bauherren anzupassen, gehört zum normalen Betriebsrisiko. Wegen der schon mehrere Jahre andauernden Schwierigkeiten in der Baubranche kann jeder Arbeitgeber in gleicher Weise von einem Arbeitsausfall betroffen sein. Ein solcher Ausfall ist somit in der momentanen wirtschaftlichen Lage keine Besonderheit (ARV 1998 Nr. 50 S. 290); denn Beschäftigungsschwankungen auf Grund verstärkter Konkurrenzsituationen stellen im Baugewerbe ein normales Betriebsrisiko dar (ARV 1995 Nr. 20 S. 120 Erw. 2b). Im Einzelfall können derartige Umstände entschädigungsberechtigt sein, wenn sie auf aussergewöhnliche oder ausserordentliche Gründe zurückzuführen sind (Urteil X. vom 10. Juli 2002 Erw. 3a, C 253/01). Diese auf das Bauhauptgewerbe anwendbare Rechtsprechung gilt sinngemäss auch für das Baunebengewerbe (nicht veröffentlichtes Urteil B. vom 16. Oktober 1996 Erw. 5, C 120/96). (…).“ (cfr. STFA del 4 dicembre 2003 nella causa F. C 8/03) In una sentenza pubblicata in SVR 2003 ALV Nr. 9 = DLA 2003 N. 20, pronunciandosi circa il normale rischio aziendale in un caso concernete un'agenzia di collocamento, il TFA ha stabilito che un importante riduzione del numero dei collocamenti provvisori che deve essere effettuato da una ditta che si occupa di lavoro a tempo parziale fa parte del rischio d'impresa. Dunque, la sola consistenza della perdita di lavoro (anche se rilevante, in quel caso si trattava del 40%) non permette ancora di concludere automaticamente per l'esistenza di circostanze eccezionali o straordinarie che esulano quindi dal normale rischio aziendale. 2.4.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 21 marzo 2005 nella causa R.A. SA, 38.2004.63; STCA dell’8 marzo 2005 nella causa C. SA, 38.2004.95; STCA dell’11 maggio 2004 nella causa H. Sagl, 38.2004.19; STCA del 26 gennaio 2004 nella causa 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 21 marzo 2005 nella causa R.A. SA, 38.2004.63; STCA dell’8 marzo 2005 nella causa C. SA, 38.2004.95; STCA dell’11 maggio 2004 nella causa H. Sagl, 38.2004.19; STCA del 26 gennaio 2004 nella causa 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2.5.   Nel caso concreto, quale motivo che l'ha indotta ad introdurre il lavoro ridotto la ditta ha indicato "(…) Mancanza momentanea di lavoro. Evitare per il momento altri licenziamenti (padri di famiglia) (…)." (cfr. doc. 7 punto 11a). Nello scritto che ha accompagnato il “Preannuncio di lavoro ridotto” la ditta ha, tra l’altro, affermato che: " (…) L’anno scorso abbiamo già inoltrato una domanda di lavoro ridotto da voi respinta ma come potete vedere dai documenti allegati la situazione è veramente cambiata. Lo sviluppo degli ultimi anni e ultimamente è stato discontinuo e per meglio illustrarvi vi alleghiamo di nuovo i bilanci dal 2000 a marzo 2005. In questo momento abbiamo inoltrato delle offerte e un capitolato (tra l’altro accettato). Nella speranza che vagliate ancora la nostra situazione proprio per evitare licenziamenti che abbiamo dovuto affrontare restiamo volentieri a vostra disposizione per qualsiasi altra informazione. (…).” (cfr. doc. 7) Dai dati sulle cifre d'affari annue risulta che dal 2000 al 2004 la cifra d’affari annua, fatto salvo un sensibile aumento rispetto all’anno precedente nel 2002, è sempre diminuita (cfr. doc. 7). In quegli anni la cifra d’affari della ditta è stata la seguente: anno 2000                     fr. 673'719.15 anno 2001                     fr. 542'305.15 anno 2002                     fr. 602'919.80 anno 2003                     fr. 449'900.90 anno 2004                     fr. 418'357.35 (cfr. doc. 7) In particolare, per quanto riguarda l’evoluzione della cifra d’affari nel periodo durante il quale fa valere l’indennità per lavoro ridotto, meglio durante i mesi da marzo a maggio 2005, dai dati forniti dalla ditta risulta che la stessa dal 2001 al 2004 ha realizzato le seguenti cifre d'affari : 2001                               fr. 132'143.90 2002                               fr. 146'582.90 2003                               fr. 104'277.85 2004                               fr. 136'733.75 (cfr. doc. 7) Nel 2005, considerata una cifra d’affari di fr. 28'642.20 e di fr. 34'003.65 per i mesi di marzo e aprile e considerato lo sviluppo probabile per il mese di maggio pari a fr. 50'000.--, la cifra d’affari della ditta per quel periodo ammonterebbe a fr. 112'645.85 (cfr. doc. 7 e 2). Dunque, durante il periodo in cui fa valere l’indennità per lavoro ridotto, dal 1°marzo al 31 maggio 2005, la ditta ha subito una diminuzione della cifra d’affari rispetto alla media del quadriennio precedente durante il medesimo periodo pari a circa il 14% (fr. 112'645.85 contro fr. 129'934.60). Come visto, secondo la giurisprudenza, una flessione della cifra d’affari del 14% rientra nel normale rischio aziendale del datore di lavoro (cfr. consid. 2.4) per cui nel caso concreto la perdita di lavoro non è computabile. Questa soluzione si giustifica peraltro anche se si considerano i motivi addotti dall'azienda per introdurre il lavoro ridotto (cfr. Doc. 7: "situazione economica negativa + riduzione di potenziali clienti). Infatti, considerata la congiuntura economica, una “mancanza momentanea del lavoro” configura una circostanza che può colpire qualsiasi altra impresa nella situazione della ditta ricorrente (cfr. consid. 2.3). Questo vale a maggior ragione se si considera che le difficoltà riscontrate dalla ditta durano da più anni. E’ infatti la stessa ricorrente ad affermare che “(…) Lo sviluppo degli ultimi anni e ultimamente è stato discontinuo (…).” (cfr. doc. 7). Del resto già per il periodo dal 1° settembre al 30 novembre 2004 la ditta aveva inoltrato un preannuncio di lavoro ridotto e la Sezione del lavoro si era opposta per i medesimi motivi invocati nel caso che qui ci occupa (cfr. doc. 8). La perdita di lavoro è dunque ormai usuale nell’azienda e quindi prevedibile. Va qui ricordato che, come visto sopra, dal 2000 al 2004 la cifra d’affari annua, fatto salvo un sensibile aumento rispetto all’anno precedente nel 2002, è sempre diminuita. Inoltre, è la stessa ditta che chiede l’introduzione del lavoro ridotto anche per evitare ulteriori licenziamenti (cfr. doc. 7). In simili circostanze, il TCA deve dunque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