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38.2003.107 vom 25. November 2003</w:t>
      </w:r>
    </w:p>
    <w:p>
      <w:r>
        <w:t>TI Tribunale d'appello, 2003-11-25, IT</w:t>
      </w:r>
    </w:p>
    <w:p>
      <w:r>
        <w:rPr>
          <w:b/>
        </w:rPr>
        <w:t xml:space="preserve">Quelle: </w:t>
      </w:r>
      <w:r>
        <w:t>https://mcp.opencaselaw.ch/entscheid/ti_gerichte_38.2003.107</w:t>
      </w:r>
    </w:p>
    <w:p>
      <w:r>
        <w:t>FR: TI_GERICHTE 38.2003.107 du 25 novembre 2003</w:t>
      </w:r>
    </w:p>
    <w:p>
      <w:r>
        <w:t>IT: TI_GERICHTE 38.2003.107 del 25 novembre 2003</w:t>
      </w:r>
    </w:p>
    <w:p>
      <w:pPr>
        <w:pStyle w:val="Heading2"/>
      </w:pPr>
      <w:r>
        <w:t>Regeste</w:t>
      </w:r>
    </w:p>
    <w:p>
      <w:r>
        <w:t>Sentenza o decisione senza scheda</w:t>
      </w:r>
    </w:p>
    <w:p>
      <w:pPr>
        <w:pStyle w:val="Heading2"/>
      </w:pPr>
      <w:r>
        <w:t>Erwägungen</w:t>
      </w:r>
    </w:p>
    <w:p>
      <w:r>
        <w:rPr>
          <w:b/>
        </w:rPr>
        <w:t>E. 24</w:t>
      </w:r>
    </w:p>
    <w:p>
      <w:r>
        <w:t>febbraio 2003 nella causa G., C 170/02, consid. 3.1 in fine; SVR 1999 ALV N° 22 e DLA 1992 pag. 153). Anche nella già più volte citata decisione del 12 marzo 2003 nella causa M.-B. C 83/02 il TFA ha ribadito il concetto secondo il quale l'interessato, al momento dell'assegnazione, deve avere la certezza di avere reperito un impiego alternativo a quello propostogli dall'amministrazione. In simili condizioni il TCA deve concludere che l'assicurato ha rifiutato un'occupazione adeguata. Anche ammettendo, come sostenuto in sede di ricorso, che egli "(…) ha unicamente messo al corrente la __________ che era già in parola con il garage __________ per un'occupazione e che attendeva una risposta della ditta. (…)." (cfr. doc. I), l'assicurato non ha espresso chiaramente ed inequivocabilmente la sua volontà di concludere il contratto per porre termine alla sua disoccupazione e, con il suo comportamento, ha quindi di fatto rifiutato un'occupazione adeguata assegnatagli ufficialmente (cfr. consid. 2.4). Riguardo infine all'entità della sospensione, conformemente alla giurisprudenza citata (cfr. consid. 2.6, 2.7 e 2.8), a mente del TCA, non esistono dei motivi che giustificano una sanzione di una durata inferiore ai 31 giorni (cfr. nello stesso senso la STFA del 28 luglio 2004 nella causa V., C7/04). Questa soluzione si giustifica a maggiore ragione se si considera la lunga permanenza in disoccupazione del ricorrente il quale per altro, proprio per questi motivo, è stato sollecitato a prendere contatti con agenzie di collocamento ed ad estendere le sue ricerche d'impiego ad altri settori professionali (cfr. doc. 4/C, 4/D, 4/E e 4/F). In simili circostanze la decisione impugnata deve essere confermata. La Sezione del lavoro Ufficio giuridico ha comunque già precisato (cfr. doc. 9 in fine) che i giorni di sospensione effettivi verranno calcolati tenendo conto dei criteri stabiliti dal TFA (cfr. DTF 122 V 34 in particolare 39-42).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