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36.2025.30 vom 15. Dezember 2023</w:t>
      </w:r>
    </w:p>
    <w:p>
      <w:r>
        <w:t>TI Tribunale d'appello, 2023-12-15, IT</w:t>
      </w:r>
    </w:p>
    <w:p>
      <w:r>
        <w:rPr>
          <w:b/>
        </w:rPr>
        <w:t xml:space="preserve">Quelle: </w:t>
      </w:r>
      <w:r>
        <w:t>https://mcp.opencaselaw.ch/entscheid/ti_gerichte_36.2025.30_d20231215</w:t>
      </w:r>
    </w:p>
    <w:p>
      <w:r>
        <w:t>FR: TI_GERICHTE 36.2025.30 du 15 décembre 2023</w:t>
      </w:r>
    </w:p>
    <w:p>
      <w:r>
        <w:t>IT: TI_GERICHTE 36.2025.30 del 15 dicembre 2023</w:t>
      </w:r>
    </w:p>
    <w:p>
      <w:pPr>
        <w:pStyle w:val="Heading2"/>
      </w:pPr>
      <w:r>
        <w:t>Regeste</w:t>
      </w:r>
    </w:p>
    <w:p>
      <w:r>
        <w:t>Assicuratore LAMal condanna assicurata domiciliata all'estero ed assicurata alla LAMal in quanto pensionata svizzera, al pagamento dei premi, delle partecipazioni ai costi, delle spese e degli interessi, in solido con defunto marito. Non comprovata possibilità di prelevare spese diffida</w:t>
      </w:r>
    </w:p>
    <w:p>
      <w:pPr>
        <w:pStyle w:val="Heading2"/>
      </w:pPr>
      <w:r>
        <w:t>Erwägungen</w:t>
      </w:r>
    </w:p>
    <w:p>
      <w:r>
        <w:rPr>
          <w:b/>
        </w:rPr>
        <w:t>E. 1</w:t>
      </w:r>
    </w:p>
    <w:p>
      <w:r>
        <w:t>frontalieri e ai loro familiari,</w:t>
      </w:r>
    </w:p>
    <w:p>
      <w:r>
        <w:rPr>
          <w:b/>
        </w:rPr>
        <w:t>E. 2</w:t>
      </w:r>
    </w:p>
    <w:p>
      <w:r>
        <w:t>familiari di domiciliati, dimoranti annuali e dimoranti temporanei,</w:t>
      </w:r>
    </w:p>
    <w:p>
      <w:r>
        <w:rPr>
          <w:b/>
        </w:rPr>
        <w:t>E. 2.4</w:t>
      </w:r>
    </w:p>
    <w:p>
      <w:r>
        <w:t>In concreto, la ricorrente e suo marito si sono trasferiti dalla Svizzera in Spagna dal 1° ottobre 2014 (cfr. allegati doc. 2a), dove hanno convissuto fino al decesso di ______ il ______ 2024 (cfr. doc. IX). Entrambi si sono assicurati presso CO1 (doc. XXII). In quanto beneficiari di una rendita di vecchiaia svizzera, essi hanno continuato ad essere affiliati all’assicurazione obbligatoria delle cure medico-sanitarie in Svizzera (cfr. art. 1 cpv. 2 lett. d OAMal; cfr. sul tema la STF 9C_444/2022 del 1° marzo 2023, consid. 3.1 ). Con decisione formale del 10 marzo 2025 l’Istituzione comune LAMal, competente per statuire in merito alle richieste di esenzione dall’obbligo di assicurazione di beneficiari di rendite e dei loro familiari che risiedono in uno Stato membro dell’Unione europea, in Islanda, in Norvegia o nel Regno Unito (art. 18 cpv. 2bis LAMal), dopo una prima decisione negativa emessa il 15 dicembre 2023 (allegato al doc. 4), sulla base di nuova documentazione prodotta dalla ricorrente, ha stabilito, in applicazione dell’art. 2 cpv. 6 OAMal, che le condizioni per un esonero dall’obbligo assicurativo LAMal erano soddisfatte a partire dal 27 novembre 2024 (doc. 6). A partire da tale data l’insorgente non è pertanto più affiliata presso CO1 (cfr. doc. 6). Avendo accertato che, malgrado richiami e ingiunzioni, l’assicurata e suo marito non hanno proceduto al versamento dei premi e partecipazioni ai costi per il periodo dal 1° agosto 2019 al 27 novembre 2024, l’assicuratore ha chiesto all’insorgente l’importo dovuto per quel periodo a titolo di premi, partecipazioni ai costi e spese per complessivi CHF 32'376.42 . Occorre preliminarmente stabilire se l’interessata può essere chiamata dall’assicuratore a pagare i debiti del defunto marito.</w:t>
      </w:r>
    </w:p>
    <w:p>
      <w:r>
        <w:rPr>
          <w:b/>
        </w:rPr>
        <w:t>E. 2.5</w:t>
      </w:r>
    </w:p>
    <w:p>
      <w:r>
        <w:t>Il diritto delle assicurazioni sociali non disciplina la responsabilità sussidiaria di un coniuge nei confronti dell'altro. La soluzione giuridica del tema in discussione va quindi ricercata nel diritto privato, nella misura in cui tale normativa sia compatibile con quella del diritto delle assicurazioni sociali, nel caso di specie con la LAMal (DTF 119 V 19 consid. 2c-d; RAMI 1993 pag. 85 consid. 2b). Per l'art. 163 CC, relativo al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w:t>
      </w:r>
    </w:p>
    <w:p>
      <w:r>
        <w:rPr>
          <w:b/>
        </w:rPr>
        <w:t>E. 2.12</w:t>
      </w:r>
    </w:p>
    <w:p>
      <w:r>
        <w:t>La ricorrente sostiene di non essere in grado di versare l’importo richiestole a causa della sua difficile situazione finanziaria, e chiede il condono o di poter pagare ratealmente fr. 10 al mese. La LAMal non prevede la possibilità di chiedere il condono del pagamento dei premi. Inoltre, in una sentenza 36.2011.75 del 21 febbraio 2012 (consid. 9), questo Tribunale ha già evidenziato che contro il rifiuto della Cassa malati di accordare un pagamento rateale (in quel caso di Fr. 50.- al mese) per rimborsare il debito non era possibile far nulla, se non suggerire all'allora ricorrente di rivolgersi temporaneamente all'assistenza sociale per ricevere un aiuto concreto per fare fronte al pagamento del dovuto. Ne segue che, anche nel caso di specie, non essendoci un obbligo, per l’assicuratore, di concedere il pagamento rateale del premio non ancora soluto, la richiesta dell’insorgente non può trovare accoglimento. Alla ricorrente si ricorda tuttavia che può trasmettere all’assicuratore tutte le fatture ancora in suo possesso e non ancora indennizzate per un esame dell’eventuale obbligo di rimborso delle prestazioni fruite da lei e dal suo defunto marito, in particolare per il periodo in cui vi era stata una sospensione del pagamento delle prestazioni dal 31 marzo 2023.</w:t>
      </w:r>
    </w:p>
    <w:p>
      <w:r>
        <w:rPr>
          <w:b/>
        </w:rPr>
        <w:t>E. 2.13</w:t>
      </w:r>
    </w:p>
    <w:p>
      <w:r>
        <w:t>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3</w:t>
      </w:r>
    </w:p>
    <w:p>
      <w:r>
        <w:t>Con i propri atti, ciascun coniuge obbliga se stesso e, in quanto non ecceda il potere di rappresentanza in modo riconoscibile dai terzi, solidalmente anche l'altro." A questo proposito, va osservato che il TF ed il TFA hanno già avuto modo di sancire che il pagamento dei premi alle assicurazioni sociali fa parte del " debito mantenimento della famiglia " secondo l'art. 163 cpv. 1 CC (DTF 125 V 430 consid. 3b e dottrina citata; RAMI 2000 pag. 79, cfr. anche DTF 119 V 25 consid. 6a; DTF 112 II 404 consid. 6). Sia la conclusione di un'assicurazione malattia obbligatoria che il cambiamento di assicuratore sono stati inoltre considerati come facenti parte dei bisogni correnti della famiglia ai sensi dell'art. 166 cpv. 1 CC. Di conseguenza, alla luce dell'art. 166 cpv. 3 CC, i coniugi rispondono solidalmente tra di loro per i premi rimasti impagati, indipendentemente dal regime matrimoniale scelto (DTF 119 V 21 consid. 4e), fintanto che vivono insieme (RAMI 1993 n. 914 pag. 83). Il TFA, con sentenza del 18 ottobre 2002 (K 60/00) pubblicata in DTF 129 V 90, ha precisato la sua giurisprudenza. In sostanza, i coniugi che sono nella necessità di instaurare relazioni con terze persone nell'interesse della coppia o della famiglia – compresa la necessità di un '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la nostra Massima Istanza ha modificato la propria giurisprudenza precisando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pubblicata in RAMI 2005 pag. 358, il TFA ha confermato, al considerando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 Kommentar zum schweizerischen Privatrecht, Zivilgesetzbuch l, n. 7 all'art. 166)".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 Hasenböhler ,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 ". L'allora Tribunale federale delle assicurazioni (dal 1° gennaio 2007: Tribunale federale) ha ricordato nella sentenza K 65/03 del 26 giugno 2006, al considerando 9, che secondo l'art. 166 cpv. 3 CC, ogni coniuge si obbliga personalmente con i suoi atti ed obbliga solidalmente il suo coniuge fintanto che non eccede i suoi poteri in modo riconoscibile per i terzi. Lo scopo di questa disposizione è proprio quello di semplificare la procedura dell'esecuzione forzata, dispensando il creditore da difficili manovre per il recupero. Inoltre, la rappresentanza dell'unione coniugale non si esercita soltanto durante la formazione degli atti giuridici, ma essa si estende anche al loro sviluppo. Così, per esempio, la prescrizione interrotta contro uno dei coniugi solidali lo è ugualmente contro l'altro (art. 136 cpv. 1 CO), e ciò pure all'insaputa di quest'ultimo. Pertanto, la diffida notificata all'assicurato in applicazione dell'art. 90 cpv. 3 OAMal è opponibile a sua moglie. Queste considerazioni sono state ribadite anche nella sentenza 9C_14/2012 del 29 ottobre 2012, dove al considerando 4 il Tribunale federale ha affermato: " (…) Les charges d'entretien, au sens de l'art. 163 al. 1 CC, comprennent notamment l'assurance-maladie et accidents obligatoire, le cas échéant aussi les assurances qui vont au-delà du seuil légal minimal (DESCHENAUX / STEINAUER / BADDELEY, Les effets du mariage, 2e ed., Berne 2009, n. 420; HAUSHEER / BRUNNER, Familienunterhalt, in Handbuch des Unterhaltsrechts, 2e éd., Berne 2010, n. 03.89 et sv.). Par ailleurs, en vertu de l'art. 166 al. 1 et 3 CC, un époux répond solidairement des dettes de cotisations de son conjoint, que le rapport d'assurance, dont découle la créance de cotisations, ait été créé pendant la vie commune ou pour satisfaire des besoins courants de la famille ( ATF 129 V 90 consid. 2 et 3.1; arrêt K 114/03 du 22 juillet 2005, in SVR 2006 KV n° 11 p. 32).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(voir HASENBÖHLER, Kommentar zum schweizerischen Privatrecht, Schweizerisches Zivilgesetzbuch I, n° 64 ad art. 166 p. 295; arrêt K 63/05 du 26 juin 2006 consid. 9). On précisera que l'art. 166 CC ne concerne que les rapports des époux avec les tiers et est indépendant du régime matrimonial des époux; il ne désigne pas celui des époux qui, dans les rapports internes, supporte la dette (DESCHENAUX / STEINAUER / BADDELEY, op. cit., n. 376). (…)" Tale giurisprudenza è stata nuovamente citata nella sentenza 9C_756/2016 del 18 gennaio 2017, al consid. 2.1 (cfr. STCA 36.2018.46 del 19 ottobre 2018). Su questi aspetti ci si riferisca anche a Ranzanici/Steffen , Responsabilità solidale dei coniugi e dei partner registrati per i debiti derivanti da premi e partecipazioni secondo la LAMal, in Bollettino n. 36 a cura dell'Ordine degli Avvocati del Cantone Ticino, Novembre 2008, così come a Gebhard Eugster , Krankenversicherung, in: SBVR, 3a edizione 2016, pag. 798 e seguenti. 2.6.  In concreto, questo Tribunale ha accertato che l’insorgente e suo marito non hanno sospeso la loro vita comune, né erano separati di fatto (doc. IX). L’interessata si è presa cura di suo marito fino al suo decesso (doc. XXII). Alla luce della giurisprudenza sopra esposta, indipendentemente dal regime matrimoniale scelto (in concreto: separazione dei beni), l’assicurata è di conseguenza debitrice solidale dei premi e delle partecipazioni ai costi del marito ( DTF 129 V 90; STF 9C_756/2016 del 18 gennaio 2017, consid. 2.1; STF 9C_14/2012 del 29 ottobre 2012, consid. 4; STF K 114/03 del 22 luglio 2005) per il periodo dal mese di agosto 2019 al 27 novembre 2024. Occorre ora stabilire l’ammontare dell’importo dovuto. 2.7.  Per quanto concerne i premi, l’assicuratore ha prodotto le polizze dei coniugi ______ per il periodo in esame. Dalle tavole processuali, e meglio dall’allegato al doc. 3 e dal doc. XVIII/1, emerge, per il periodo qui d’interesse, che i premi degli assicurati ammontavano mensilmente a CHF 350 dal 2020 al 2023 e a CHF 320 nel 2024 (plico doc. 20). Dalla documentazione prodotta si evince che gli assicurati non hanno versato i premi da giugno a dicembre 2022 per CHF 2'450 ciascuno (CHF 350 al mese per 7 mesi). Nel 2023 su CHF 4'200 dovuti (350 X 12 mesi) ne hanno pagati 350 ciascuno per un debito complessivo di CHF 7'770 (3'850 X 2). Nel 2024 vi è uno scoperto di CHF 2'880 per il defunto marito (320 X 9 mesi) e di CHF 3’477.33 per la ricorrente ([320 X 10 mesi] + [320 : 30 X 26 giorni di novembre 2024]). Dai doc. 3 e XVIII/1 risulta inoltre che gli assicurati: - non hanno versato i premi dovuti dei mesi da gennaio a maggio 2022 (350 X 2 X 5) per complessivi CHF 3’500; - non hanno versato premi in dicembre 2021 per CHF 197.25 X 2 per complessivi CHF 394.50; - non hanno versato premi da gennaio a novembre 2021 per CHF 1'819.75 X 2 per complessivi CHF 3'639.50; - non hanno versato premi in dicembre 2020 per CHF 188.90 x 2 per complessivi CHF 377.80; - non hanno versato premi in novembre 2020 per CHF 188.90 X 2 per complessivi CHF 377.80; - non hanno versato premi in ottobre 2020 per CHF 188.90 + CHF 109.56, per complessivi CHF 298.46. Dai doc. 3 e XVIII/1 emerge inoltre che gli assicurati non avrebbero pagato un importo di CHF 1'671.87 per premi dal “ 01.01.2020 al 31.01.2020 ” (fattura n. _________ del 28 febbraio 2022). Tuttavia, nell’allegata fattura n. _________, datata peraltro 26 aprile 2022, figura la richiesta di pagamento del premio di aprile 2022 per entrambi i coniugi per CHF 350 ciascuno per un totale, inspiegabilmente, di CHF 2'371.87. Sul medesimo documento figura inoltre l’importo di CHF 1'671.87 senza tuttavia alcuna spiegazione e poi nuovamente l’importo di CHF 2'371.87. Considerato che il documento è incomprensibile e né le cifre né le causali corrispondono con quanto riportato nell’estratto conto di cui ai doc. 3 e XVIII/1, occorre concludere che l’assicuratore non ha comprovato, neppure secondo il principio della verosimiglianza preponderante valido nelle assicurazioni sociali, l’entità e la causale del debito di CHF 1'671.87 per il mese di gennaio 2020. Tale importo non può di conseguenza essere preso in considerazione. In queste condizioni l’importo complessivo per i premi dovuti e non ancora pagati, comprovato dall’assicuratore, ammonta complessivamente a CHF 27'545.39 ([2'450 X 2] + [3'850 X 2] + 2'880 + 3'477.33 + 3'500 + 394.50 + 3'639.50 + 377.80 + 377.80 + 298.46 + 700). L’interessata sostiene che non è vero che non ha pagato i premi dal 2014 ed afferma “ se volete pagava la Banca ______ potete verificare ” (doc. XXII). Questo Tribunale rileva tuttavia che inizialmente l’interessata non aveva contestato di essere debitrice dei premi, ma aveva unicamente domandato di poter essere messa al beneficio di un condono (doc. I) Il TCA rammenta da una parte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DTF 121 V 45 consid. 2a pag. 47). Nel ricorso del 9 giugno 2025 l’interessata aveva affermato che “ scrivo in merito al debito aperto presso la vostra Cassa Malattia, nato da un ingenuo errore in buona fede (…) ”, ha asserito di non sapere che l’assicurazione fosse individuale e che “ questo ha portato alla mancata copertura e all’accumulo del debito ” ed ha chiesto il condono. Ella ha pertanto ammesso di avere un debito nei confronti dell’assicuratore. D’altra parte occorre evidenziare che il principio inquisitorio che regge la procedura davanti al Tribunale delle assicurazioni (a proposito del principio inquisitorio, dell’obbligo di collaborare delle parti e delle conseguenze concrete dell’applicazione di tali principi: STF 9C_384/2019 del 1° ottobre 2019, consid. 4.1 e seguenti; DTF 145 V 90, consid. 3.2)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l’insorgente si limita ad affermare genericamente che il Tribunale può verificare presso “ Banca ______ ” che effettuava i pagamenti. Spetta tuttavia alla ricorrente produrre gli eventuali giustificativi bancari atti a comprovare che anche i premi rimasti impagati dal mese di ottobre 2020 al mese di novembre 2024 sarebbero stati regolarmente soluti. Ella non può limitarsi a domandare a questo TCA di effettuare una richiesta presso la Banca ______ volta ad accertare se e quando l’interessata avrebbe provveduto a pagare i premi non ancora versati. In concreto, considerato che la ricorrente in un primo momento aveva ammesso di avere dei debiti nei confronti dell’assicuratore e che, dopo averli contestati, non ha prodotto alcuna documentazione circa un eventuale pagamento, perlomeno parziale, dei premi, occorre concludere che, come accertato da questo Tribunale, l’ammontare complessivo dei premi , chiesti entro il termine di prescrizione (sul tema STF K 114/03 del 22 luglio 2005, consid. 4 e STCA 36.2014.21 del 18 luglio 2014), ancora dovuti, è di CHF 27'545.39. 2.8.  Per quanto attiene alle partecipazioni ai costi di malattia, l’assicuratore ha prodotto la documentazione relativa alle prestazioni richieste (doc. 3, XVIII e doc. XVIII/2). Dalla medesima si evince che le partecipazioni ai costi dovute ammontano a CHF 1'108.20 (46.50 + 65.55 + 9.00 + 17.65 + 22.55 + 37.10 + 2.60 + 39.90 + 61.30 + 27.50 + 29.65 + 13.20 + 322.75 + 102.95 + 201 + 43.25 + 3.25 + 62.50) e concernono il periodo dal mese di giugno 2019 al mese di agosto 2020 (doc. 3 e XVIII/2). Non può essere riconosciuto l’importo di CHF 24.34 perché, come ammesso dal medesimo assicuratore (doc. XVIII), non è più possibile produrre e risalire alla fattura del 1° agosto 2019. Non può neppure essere preso in considerazione l’importo di CHF 635.95 per prestazioni dal 28 maggio al 7 giugno 2019, poiché dalla fattura _________ del 31 ottobre 2019 (penultimo allegato del doc. XVIII/2), emerge che tale somma era dovuta alla ricorrente e non dalla ricorrente. Tale cifra non è da confondere con quella di CHF 639.20 contenuta nella fattura _________ del 25 luglio 2020 e che concerne un conteggio del 30 ottobre 2019 qui non richiesto (__________; cfr. quart’ultimo allegato doc. XVIII/2). 2.9.  L’assicuratore reclama complessivamente CHF 1’380 per spese di sollecito ([18 X 45] + 30) e di costi e spese (18 X 30).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Dal 1° gennaio 2024 è stato aggiunto che il DFI ne stabilisce gli importi massimi. In concreto CO1 non ha prodotto a questo Tribunale cantonale delle assicurazioni (contrariamente a quanto ad esempio fatto dall’assicuratore malattie nell’incarto 36.2022.24 dell’11 luglio 2022) alcuna condizione d’assicurazione e nessuna disposizione generale sui diritti e obblighi dell’assicurato. Non è quindi comprovato adeguatamente il diritto della Cassa di percepire tali spese (cfr. su questo punto la STCA 36.2023.5 del 2 ottobre 2023, consid. 12, citata nello scritto del 24 settembre 2025 all’assicuratore [doc. XVII]). Si rammenta che, alla Cassa è stata rivolta la richiesta di consegnare l’intero incarto (doc. X), seguita dall’invito a produrre eventuali ulteriori mezzi di prova non consegnati in precedenza (doc. XVII del 24 settembre 2025). Non è stata quindi dimostrata adeguatamente la possibilità per la Cassa di prelevare spese di natura amministrativa, che la stessa sia prevista e concessa all’assicuratore dal proprio regolamento o dalle condizioni assicurative vincolanti l’assicurata. Per questa ragione la pretesa dell’assicuratore va respinta, questo nonostante quanto indicato genericamente nella decisione su opposizione al punto 10 a pagina 4 (“ Le condizioni generali della CO1 prevedono espressamente l’elevazione delle spese di richiamo e dei costi amministrativi causati dal pagamento ritardato dell’assicurato ”), che non ha trovato conferma mediante la consegna agli atti delle condizioni d’assicurazione. L’affermazione contenuta nella decisione su opposizione non è infatti sufficiente (cfr. su questo punto la STCA 36.2023.5 del 2 ottobre 2023, consid. 12). 2.10.  Con la decisione su opposizione impugnata l’assicuratore ha condannato l’insorgente anche al pagamento degli interessi di mora al 5% sull’intero importo dovuto e questo dal 1° gennaio 2019. Preliminarmente va rammentato che sulle partecipazioni ai costi non possono essere prelevati interessi di mora o compensativi in assenza di una base legale (fra le tante, cfr. STCA 36.2012.9 del 15 giugno 2012, consid. 6, con riferimento alle STF K 40/05 del 12 gennaio 2006 pubblicata in RAMI, KV 356, pag. 40; STF K 24/06 del 3 luglio 2006, consid. 3.2). Per quanto concerne i premi, secondo l’art. 90 OAMal essi devono essere pagati in anticipo e di regola mensilmente. A norma dell’art. 105a OAMal, il tasso degli interessi di mora sui premi scaduti secondo l'art. 26 cpv. 1 LPGA è del 5% annuo. Ne segue che il prelevamento degli interessi di mora va confermato, ma non nelle modalità e per il periodo ritenuti dalla Cassa. Gli interessi sono postulati dal 1° gennaio 2019. Come visto i premi di cui viene chiesto il pagamento sono dovuti dal 1° ottobre 2020. Considerato che essi vanno pagati in anticipo, di regola mensilmente, per semplificarne il calcolo, per l’inizio del termine da cui decorrono gli interessi di mora, può essere presa in considerazione una media tra il mese di ottobre 2020 ed il mese di novembre 2024. Con questo calcolo si raggiunge infatti lo stesso risultato che si otterrebbe facendo partire mensilmente il tasso d’interesse del 5% per ogni singolo premio. Gli interessi al 5% sono pertanto dovuti, sull’intero importo di CHF 27'545.39, dal 1° novembre 2022. 2.11.  L’insorgente afferma di essere stata in buona fede, sostenendo di non aver saputo che l’assicurazione sanitaria fosse individuale ma pensava di essere coperta tramite il marito.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9C_353/2024 del 25 febbraio 2025, consid. 2.3 con riferimenti;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Nel caso di specie la ricorrente non sostiene che l’assicuratore le abbia fornito un’informazione errata. Ella non può neppure far valere una mancanza di informazione. All’insorgente, ormai 84enne, e che prima di recarsi in Spagna era affiliata alla LAMal in Svizzera, non poteva infatti sfuggire che l’assicurazione delle cure medico-sanitarie è individuale. Tant’è che le polizze di assicurazione le sono sempre state trasmesse personalmente, a suo nome (cfr. plico doc.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