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36.2023.5 vom 2. Oktober 2023</w:t>
      </w:r>
    </w:p>
    <w:p>
      <w:r>
        <w:t>TI Tribunale d'appello, 2023-10-02, IT</w:t>
      </w:r>
    </w:p>
    <w:p>
      <w:r>
        <w:rPr>
          <w:b/>
        </w:rPr>
        <w:t xml:space="preserve">Quelle: </w:t>
      </w:r>
      <w:r>
        <w:t>https://mcp.opencaselaw.ch/entscheid/ti_gerichte_36.2023.5</w:t>
      </w:r>
    </w:p>
    <w:p>
      <w:r>
        <w:t>FR: TI_GERICHTE 36.2023.5 du 2 octobre 2023</w:t>
      </w:r>
    </w:p>
    <w:p>
      <w:r>
        <w:t>IT: TI_GERICHTE 36.2023.5 del 2 ottobre 2023</w:t>
      </w:r>
    </w:p>
    <w:p>
      <w:pPr>
        <w:pStyle w:val="Heading2"/>
      </w:pPr>
      <w:r>
        <w:t>Erwägungen</w:t>
      </w:r>
    </w:p>
    <w:p>
      <w:r>
        <w:rPr>
          <w:b/>
        </w:rPr>
        <w:t>E. 1</w:t>
      </w:r>
    </w:p>
    <w:p>
      <w:r>
        <w:t>La vertenza, in tema di premi dovuti all’assicuratore sociale contro le malattie rispettivamente in tema di spese di malattia (partecipazione ai costi), non pone questioni giuridiche di principio e non è di rilevante importanza (ad esempio per la difficoltà dell'istruttoria o della valutazione delle prove, qui in effetti non assunte). Il TCA può quindi decidere nella composizione di un Giudice unico ai sensi dell'art. 49 cpv. 2 LOG come a costante giurisprudenza del Tribunale federale. Su questi temi si veda Ivano Ranzanici : La possibilità concessa dall'art. 49 cpv. 2 LOG alla Sezione di diritto pubblico del Tribunale di Appello di emanare giudizi monocratici alla luce della recente giurisprudenza federale, in RtiD I - 2016, pagg. 307 e segg. Il tema del debito riferito ai premi ed alle partecipazioni è stato più volte affrontato da questa Corte e dal TF nonché dalla dottrina, per tutte si faccia riferimento alle STCA 36.2022.24 dell’11 luglio 2022, 36.2022.5 del 11 marzo 2022 e 36.2022.35 del 22 ottobre 2022 (si vedano anche i precedenti citati in questi giudizi). Il debito del coniuge preteso dall’assicuratore dall’altro coniuge è pure stato oggetto di ampia giurisprudenza (per un esempio si vedano le STCA 36.2004.88 e 100 del 12 novembre 2004), lo stesso dicasi per il debito per premi dei figli maggiorenni, che la giurisprudenza ha più volte affrontato (si veda la STCA appena citata e la giurisprudenza specifica citata nelle considerazioni che seguono). Altro tema che è già stato analizzato ed approfondito adeguatamente dalla giurisprudenza e dalla dottrina è quello della compensazione di pretese dell’assicurato verso l’assicuratore con premi e partecipazioni ai costi (anche qui si rimanda a quanto esposto in dettaglio nelle considerazioni che seguono). Il presente giudizio, nel rispetto della chiara volontà del legislatore ticinese espressa all’art. 49 LOG, può quindi essere emanato monocraticamente. Il fatto che questo giudizio si estenda su un importante numero di pagine (criterio in passato ritenuto, con altri, rilevante dal TF per determinare la possibilità di un giudizio monocratico, si vedano le STF 1C_858/2013 consid. 3.4 e 9C_699/2014 consid. 7.2.) non deriva dalla complessità degli aspetti giuridici o dell’istruttoria da condurre, bensì dalla volontà di completa esposizione dei fatti a fronte di dossier non gestito in maniera precisa e completa da parte dell’assicuratore ed alla luce della poca chiarezza su taluni principi del diritto applicabili in concreto con necessità di un’esplicitazione completa della giurisprudenza federale e della dottrina in materia. nel merito</w:t>
      </w:r>
    </w:p>
    <w:p>
      <w:r>
        <w:rPr>
          <w:b/>
        </w:rPr>
        <w:t>E. 2</w:t>
      </w:r>
    </w:p>
    <w:p>
      <w:r>
        <w:t>Essi s’intendono sul loro contributo rispettivo, segnatamente circa le prestazioni pecuniarie, il governo della casa, la cura della prole o l’assistenza nella professione o nell’impresa dell’altro.</w:t>
      </w:r>
    </w:p>
    <w:p>
      <w:r>
        <w:rPr>
          <w:b/>
        </w:rPr>
        <w:t>E. 3</w:t>
      </w:r>
    </w:p>
    <w:p>
      <w:r>
        <w:t>ed. 2016, pag. 607 n. 656. In un recente giudizio (STF 9C_317/2019 del 24 settembre 2019 il TF ha considerato come: " Entgegen der Auffassung des Beschwerdeführers kann aus dieser Verordnungsvorschrift nicht im Umkehrschluss gefolgert werden, dass es ihm als Versicherungsnehmer erlaubt sei, seine Ansprüche zu verrechnen. Vielmehr ist insofern von einem qualifizierten Schweigen des Verordnungsgebers auszugehen, da es einem allgemeinen Rechtsgrundsatz entspricht, dass gleichartige und fällige Geldforderungen zwischen den gleichen Rechtsträgern verrechenbar sind, sofern dies nicht durch besondere gesetzliche Regelungen ausgeschlossen ist (BGE 132 V 127 E. 6.1.1 S. 135 mit Hinwiesen; Urteil 2C_589/2011 vom 17. November 2011 E. 3.3).” L’assenza di possibilità per l’assicurato di compensare suoi debiti, specie per premi, con pretesi crediti nei confronti dell’assicuratore malattie, è costantemente confermata dalla giurisprudenza (STF 9C_723/2018 dell’8 novembre 2018 che richiama un precedente giudizio del 4 giugno 2009 STF 9C_379/2009; si veda ancora la giurisprudenza evocata da Gebhard Eugster in Rechtsprechung des Bundesgerichts zum KVG, 2. ed., Schulthess Juristische Medien AG, 2018, p.178). Alla luce di questa costante prassi giudiziaria, specialmente dove un credito dell’assicurato non sia ammesso dall’assicuratore, non è data la possibilità di compensare premi, in sé non contestati come in concreto, con pretese vantate nei confronti della Cassa. Da quanto precede la compensazione invocata dal ricorrente e sostenuta dal suo legale, non può assolutamente essere ammessa, a prescindere dall’esistenza o meno di un credito effettivo del ricorrente nei confronti dell’assicuratore. 12.  L’assicuratore reclama CHF 180 per diffide e CHF 80 per le spese di elaborazione delle pratiche.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In concreto l’assicuratore, patrocinato da un avvocato avvezzo alla materia, non ha prodotto a questo Tribunale cantonale delle assicurazioni (contrariamente a quanto ad esempio fatto nell’incarto 36.2022.24 citato in precedenza) alcuna condizione d’assicurazione, nessuna disposizione generale sui diritti e obblighi dell’assicurato. Non è quindi comprovato adeguatamente il diritto della Cassa di percepire tali spese. Si ribadisce che, alla Cassa (tramite il patrocinatore) è stata rivolta la richiesta di consegnare l’intero incarto datata 19 maggio 2023 (doc. XII), seguita dall’invito a produrre eventuali ulteriori mezzi di prova non consegnati in precedenza (del 30 giugno 2023, doc. XVI). Alla luce delle carenze probatorie del dossier prodotto, al patrocinatore della Cassa è stata trasmessa la sollecitazione a completare l’asse probatorio (lacunoso) con scritto del 17 agosto 2023 (doc. XX). Nuovamente si ricorda che, questa lettera, rammentata la natura della procedura, con richiamo dell’art. 79 LEF, l’obbligo per l’assicuratore di comprovare i suoi crediti, quello del Giudice di verificare (anche dove non contestati) i medesimi crediti vantati dall’assicuratore per pronunciare il rigetto di un’opposizione a un PE con la eventuale conferma di una decisione resa su opposizione. Lo scritto del TCA invita CO 1 a verificare la completezza delle prove prodotte, per dimostrare adeguatamente i crediti vantati per premi, partecipazioni e spese amministrative. Il rappresentante dell’assicuratore non ha trasmesso nulla di utile, tale lacuna si ripercuote sull’assicuratore. Non è stata quindi dimostrata adeguatamente la possibilità per la Cassa di prelevare spese di natura amministrativa, che la stessa sia prevista e concessa all’assicuratore dal proprio regolamento o dalle condizioni assicurative vincolanti il signor RI 1 (la stessa amministrazione indica infatti appartenenza a CO 1 da parte del signor RI 1 da anni, sin dagli anni ottanta). Per questa ragione la pretesa dell’assicuratore va respinta, questo nonostante quanto indicato genericamente nella decisione su opposizione al punto 4 a pagina 2, che non ha trovato conferma mediante la consegna agli atti delle condizioni d’assicurazione. L’affermazione contenuta nella decisione su opposizione non è infatti sufficiente. Va poi evidenziato che le spese esposte, anche se il loro carico all’assicurato ricorrente fosse stato possibile, non sarebbero state confermate nel loro ammontare. Da un lato gli atti prodotti contemplano 4 diffide (doc. 7.2 e 7.4., coeve e inviate con un unico scritto; doc. 9.2, 12.2 e 14.1). La diffida per la partecipazione ai costi non potrebbe essere ritenuta, in assenza di diritto a pretendere detto importo (v. sopra), così come una spesa amministrativa per la diffida. Le spese amministrative complessive (CHF 260) sarebbero in ogni modo state sproporzionate all’importanza del credito ed agli sforzi della Cassa. 13.  Con la decisione su opposizione impugnata l’assicuratore ha condannato l’insorgente anche al pagamento degli interessi di mora al 5% sui premi dovuti, e questo a partire dal 16 ottobre 2019. Secondo l’art. 90 OAMal i premi devono essere pagati in anticipo e di regola mensilmente. A norma dell’art. 105a OAMal, il tasso degli interessi di mora sui premi scaduti secondo l'art. 26 cpv. 1 LPGA è del 5% annuo. Ne segue che il prelevamento degli interessi di mora va confermato, ma non nelle modalità e per il periodo ritenuti dalla Cassa. Gli interessi sono postulati dal 16 ottobre 2019 per i premi di settembre e ottobre 2019, ma non possono essere esatti sull’intera somma dei premi pretesi siccome i premi di novembre e dicembre 2019 non ancora giunti a maturazione in quel momento. Sui premi 09.2019 e 10.2019 (da cui deve essere dedotta la differenza tra i premi effettivi del periodo e la pretesa riconosciuta qui pari a CHF 4'272 – 3'798,25 = 473,75) ossia su CHF 1'662,25 (CHF 534 x 4 – 473,25) va riconosciuto un interesse al 5% e questo per il periodo corrente dal 16 ottobre al 31 ottobre 2019. Per il periodo corrente dal 1° novembre 2019 (scadenza dei premi di novembre 2019) ed il 30 novembre 2019 l’interesse del 5% è da riconoscere sull’importo di CHF 2'730,25 (CHF 1662,25 + [2 X CHF 534]), mentre dal 1. dicembre 2019 è dovuto un interesse al 5% sulla somma piena dei premi non pagati, ossia CHF 3'798,25 (CHF 2’730.25 + [2x CHF 534]). 14.  Sulla scorta di quanto precede il ricorso va parzialmente accolto. Il debito dell’assicurato qui ricorrente stabilito in CHF 3'798,25. Sull’importo dei premi dovuti gli interessi come specificati in coda al punto precedente. Non sono dovute invece spese amministrative e partecipazioni ai costi di malattia. Il ricorrente, parzialmente vincente in causa, deve vedersi riconoscere, a carico dell’assicuratore, ripetibili ridotte, siccome patrocinato. L’importo delle ripetibili ridotte può qui essere cifrato in CHF 300 alla luce dell’esito della procedura. 15.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