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36.2023.14</w:t>
      </w:r>
    </w:p>
    <w:p>
      <w:r>
        <w:t>TI Tribunale d'appello, IT</w:t>
      </w:r>
    </w:p>
    <w:p>
      <w:r>
        <w:rPr>
          <w:b/>
        </w:rPr>
        <w:t xml:space="preserve">Quelle: </w:t>
      </w:r>
      <w:r>
        <w:t>https://mcp.opencaselaw.ch/entscheid/ti_gerichte_36.2023.14</w:t>
      </w:r>
    </w:p>
    <w:p>
      <w:pPr>
        <w:pStyle w:val="Heading2"/>
      </w:pPr>
      <w:r>
        <w:t>Volltext</w:t>
      </w:r>
    </w:p>
    <w:p>
      <w:r>
        <w:t>Raccomandata</w:t>
      </w:r>
    </w:p>
    <w:p>
      <w:r>
        <w:t>Incarto n.36.2023.14</w:t>
      </w:r>
    </w:p>
    <w:p>
      <w:r>
        <w:t>cs</w:t>
      </w:r>
    </w:p>
    <w:p>
      <w:r>
        <w:t>Lugano</w:t>
      </w:r>
    </w:p>
    <w:p>
      <w:r>
        <w:t>26 giugno 2023</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vicecancelliere</w:t>
      </w:r>
    </w:p>
    <w:p>
      <w:r>
        <w:t>segretario:</w:t>
      </w:r>
    </w:p>
    <w:p>
      <w:r>
        <w:t>Gianluca Menghetti</w:t>
      </w:r>
    </w:p>
    <w:p>
      <w:r>
        <w:t>statuendo sulla petizione del 17 aprile 2023 di</w:t>
      </w:r>
    </w:p>
    <w:p>
      <w:r>
        <w:t>AT 1</w:t>
      </w:r>
    </w:p>
    <w:p>
      <w:r>
        <w:t>contro</w:t>
      </w:r>
    </w:p>
    <w:p>
      <w:r>
        <w:t>CV 1</w:t>
      </w:r>
    </w:p>
    <w:p>
      <w:r>
        <w:t>in materia di assicurazione contro le malattie</w:t>
      </w:r>
    </w:p>
    <w:p>
      <w:r>
        <w:t>ritenuto,in fatto</w:t>
      </w:r>
    </w:p>
    <w:p>
      <w:r>
        <w:t>consideratoin diritto</w:t>
      </w:r>
    </w:p>
    <w:p>
      <w:r>
        <w:t>2.1.  Oggetto del contendere è la questione di sapere se lattrice era ancora assicurata presso la convenuta allinizio dellincapacità lavorativa e, in caso di risposta affermativa, a quanto ammontano le indennità giornaliere che lassicuratore deve versarle.</w:t>
      </w:r>
    </w:p>
    <w:p>
      <w:r>
        <w:t>Non è oggetto della vertenza la richiesta di restituzione contenuta nello scritto 21 novembre 2022, non avendo CV 1 inoltrato alcuna petizione né domanda riconvenzionale in merito.</w:t>
      </w:r>
    </w:p>
    <w:p>
      <w:r>
        <w:t>La durata del pagamento del salario dipende dalla durata del rapporto di lavoro (art. 324a cpv. 2 CO; sui criteri usualmente applicati dai tribunali in questi casi, cfr.Adrian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Zurigo2007, pag.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citaIvano Ranzanici, Les effets de lincapacité de travailler pour cause dune maladie successive à la résolution du contrat de travail, in: Regards croisés sur le droit du travail:Liber Amicorumpour Gabriel Aubert, 2015, pag. 271 e seguenti, in particolare pag. 272-274; sull'aspetto dell'equivalenza si veda ancheAdrian Von Kaenel,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w:t>
      </w:r>
    </w:p>
    <w:p>
      <w:r>
        <w:t>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Lart. __________ CGA regola linizio e la fine della copertura assicurativa.</w:t>
      </w:r>
    </w:p>
    <w:p>
      <w:r>
        <w:t>Per lart. __________ CGA per la persona assicurata, la copertura si estingue:</w:t>
      </w:r>
    </w:p>
    <w:p>
      <w:r>
        <w:t>Va ancora evidenziato che linterpretazione delle clausole contrattuali secondo il principio dellaffidamento non tiene conto di come il lavoratore, che non è giuridicamente parte al contratto, comprenda la norma (sentenza 4A_92/2020 del 5 agosto 2020, consid. 3.3.1); occorre determinare come un destinatario di buona fede possa e debba comprendere le clausole (sentenza 4A_92/2020 del 5 agosto 2020, consid. 3.3.1).</w:t>
      </w:r>
    </w:p>
    <w:p>
      <w:r>
        <w:t>2.11.  Nel caso di specie lart. __________ CGA è chiaro e prevede che il guadagno annuo concordato non vale quale assicurazione di somma fissa ma quale assicurazione contro i danni.</w:t>
      </w:r>
    </w:p>
    <w:p>
      <w:r>
        <w:t>Lassicurazione sottoscritta dalle parti è pertanto unassicurazione contro i danni.</w:t>
      </w:r>
    </w:p>
    <w:p>
      <w:r>
        <w:t>La circostanza prevista dallart. __________ CGA secondo cuise è stato concordato in anticipo un guadagno annuo fisso (in concreto: fr. 60'000), per il calcolo viene utilizzato tale valore e lassicuratore rinuncia alla verifica delleffettiva perdita di guadagno fino allammontare del guadagno annuo concordato, mentre per perdite di guadagno che vanno oltre il guadagno annuo concordato non sono assicurate, non sovverte tale interpretazione.</w:t>
      </w:r>
    </w:p>
    <w:p>
      <w:r>
        <w:t>Infatti la dottrina, citata in DTF 146 III 339, consid. 5.2.3., rammenta che se dai documenti contrattuali (comprese le CGA od altre pattuizioni), emerge che lindennità giornaliera è versata solo nel caso di una perdita patrimoniale causata dallevento assicurato, si è in presenza di unassicurazione contro i danni anche se lentità della prestazione è, fino ad un certo importo, fissata tramite un ammontare forfettario (GERHARD STOESSEL, Schadens- und Summenversicherung: Diskussion seit hundert Jahren, in Mélanges du Bureau National Suisse d'Assurance [...], 2000, pag. 510 paragrafo 1 e pag. 511 paragrafo 2;HÄBERLI/HUSMANN, Krankentaggeld, versicherungs- und arbeitsrechtliche Aspekte, 2015, pag. 9 n. 36).</w:t>
      </w:r>
    </w:p>
    <w:p>
      <w:r>
        <w:t>HÄBERLI/HUSMANN rilevano che in tal caso la prestazione è dovuta solo se interviene un danno concreto; tuttavia esso non deve per forza corrispondere alla prestazione concordata. Questo tipo di assicurazione è usuale nei casi in cui accertare il danno effettivo è difficile o particolarmente complesso, poiché necessita di uno sforzo sproporzionato; per esempio nel caso di perdita di guadagno degli indipendenti (HÄBERLI/HUSMANN, Krankentaggeld, versicherungs- und arbeitsrechtliche Aspekte, 2015, pag. 10 n. 36).</w:t>
      </w:r>
    </w:p>
    <w:p>
      <w:r>
        <w:t>Lassicuratore, che con la risposta di causa contesta in maniera generica proprio la presenza di un danno concreto, ossia di una una reale perdita di guadagno, nello scritto del 21 novembre 2022 aveva affermato che non vi era alcuna perdita di guadagno computabile poiché i guadagni sono stati dichiarati allAVS per lultima volta nellaprile 2021 (doc. G).</w:t>
      </w:r>
    </w:p>
    <w:p>
      <w:r>
        <w:t>A torto.</w:t>
      </w:r>
    </w:p>
    <w:p>
      <w:r>
        <w:t>Infatti, se è vero che non è ancora stata emessa alcuna decisione di fissazione dei contributi quale indipendente per il 2021 e che linteressata aveva indicato quale reddito presumibile un importo annuo di fr. 4'000 su cui sono stati pagati gli acconti (cfr. plico doc. XVII/1), daltra parte va rammentato che la fissazione definitiva dei contributi degli indipendenti avviene sulla base della tassazione IFD cresciuta incontestata in giudicato, i cui dati, di principio vincolanti, sono comunicati dal fisco alla Cassa di compensazione (cfr. art. 23 OAVS).</w:t>
      </w:r>
    </w:p>
    <w:p>
      <w:r>
        <w:t>Per cui, la circostanza che nel 2021 e nel 2022 non è stato, ancora, registrato alcun reddito nel conto individuale dellassicurata, non significa che non abbia conseguito alcun guadagno.</w:t>
      </w:r>
    </w:p>
    <w:p>
      <w:r>
        <w:t>Dalla documentazione prodotta dalle parti emerge infatti che nel 2021, anno ancora caratterizzato dal COVID-19, e, in determinati periodi, da misure restrittive per ristoranti e bar, segnatamente dalla necessità di presentare il certificato COVID (cfr. sul tema: Modifiche dei provvedimenti nazionali di contenimento del coronavirus in Svizzera da dicembre 2020 edito dallUFAS, Stato 9 febbraio 2022), dal 26 marzo al 31 dicembre, ossia in poco più di 9 mesi, l__________ ha avuto introiti pari a fr. 74'942 lordi, che, tolte le spese (materiale desercizio, bombole, costi affitto, corrente elettrica, costi telefono, pubblicità, assicurazioni, tasse ed AVS), ammontano a fr. 38965 (doc. I/2), per un utile netto della società in nome collettivo, tolti lammortamento e le trasferte, di fr. 31'401 dichiarati nella tassazione 2021 dallattrice (doc. I/1), alla quale, secondo il contratto della società, va riconosciuto il 100% della quota di partecipazione dellutile netto (cfr. dichiarazione fiscale, doc. I/1).</w:t>
      </w:r>
    </w:p>
    <w:p>
      <w:r>
        <w:t>Da rilevare che i guadagni maggiori sono stati conseguiti tra maggio e settembre 2021, ossia nei mesi estivi con maggiore affluenza turistica (doc. I/2). Nei mesi di gennaio, febbraio e marzo 2022, ossia nei mesi invernali con poca presenza di turisti, lintroito è poi stato inferiore (cfr. doc. 40 pagina 1: fr. 2'814 in gennaio, fr. 3'120 in febbraio e fr. 2'204 in marzo).</w:t>
      </w:r>
    </w:p>
    <w:p>
      <w:r>
        <w:t>Ne segue che nel caso di specie, contrariamente alla tesi della convenuta, lattrice ha comprovato di aver subito un danno concreto, ossia una perdita di guadagno dovuta alla malattia.</w:t>
      </w:r>
    </w:p>
    <w:p>
      <w:r>
        <w:t>Ella ha pertanto diritto alle indennità giornaliere calcolate sulla base del guadagno annuo concordato tra le parti di fr. 60'000 (art. __________ CGA), pari ad unindennità giornaliera di fr. 131.50 (60'000 : 100 X 80 : 365).</w:t>
      </w:r>
    </w:p>
    <w:p>
      <w:r>
        <w:t>In queste condizioni, allattrice, per il periodo dal 1° agosto 2022 al 31 maggio 2023, andrebbero versati complessivamente fr. 39'976:</w:t>
      </w:r>
    </w:p>
    <w:p>
      <w:r>
        <w:t>dal 1° al 31 agosto 2022:       fr. 131.50 X 31 = fr. 4076.50;</w:t>
      </w:r>
    </w:p>
    <w:p>
      <w:r>
        <w:t>dal 1° al 30 settembre 2022:  fr. 131.50 X 30= fr.  3'945;</w:t>
      </w:r>
    </w:p>
    <w:p>
      <w:r>
        <w:t>dal 1° al 31 ottobre 2022:       fr. 131.50 X 31 = fr. 4076.50;</w:t>
      </w:r>
    </w:p>
    <w:p>
      <w:r>
        <w:t>dal 1° al 30 novembre 2022:  fr. 131.50 X 30= fr.  3'945;</w:t>
      </w:r>
    </w:p>
    <w:p>
      <w:r>
        <w:t>dal 1° al 31 dicembre 2022:   fr. 131.50 X 31 = fr. 4076.50;</w:t>
      </w:r>
    </w:p>
    <w:p>
      <w:r>
        <w:t>dal 1° al 31 gennaio 2023:     fr. 131.50 X 31 = fr. 4076.50;</w:t>
      </w:r>
    </w:p>
    <w:p>
      <w:r>
        <w:t>dal 1° al 28 febbraio 2023:     fr. 131.50 X 28 = fr. 3'682;</w:t>
      </w:r>
    </w:p>
    <w:p>
      <w:r>
        <w:t>dal 1° al 31 marzo 2023:        fr. 131.50 X 31 = fr. 4076.50;</w:t>
      </w:r>
    </w:p>
    <w:p>
      <w:r>
        <w:t>dal 1° al 30 aprile 2023:         fr. 131.50 X 30= fr.  3'945;</w:t>
      </w:r>
    </w:p>
    <w:p>
      <w:r>
        <w:t>dal 1° al 31 maggio 2023:      fr. 131.50 X 31 = fr. 4076.50.</w:t>
      </w:r>
    </w:p>
    <w:p>
      <w:r>
        <w:t>La richiesta di riconoscerle fr. 39'879.50 (cfr. conclusioni, doc. XXIII) va pertanto accolta.</w:t>
      </w:r>
    </w:p>
    <w:p>
      <w:r>
        <w:t>Vanno aggiunti gli interessi di mora al 5% dal 17 aprile 2023 su fr. 31'954.50 (periodo 1° agosto 2022  31 marzo 2023; inoltro della petizione, doc. I) e al 5% dal 12 giugno 2023 (inoltro delle conclusioni; doc. XXIII) sulla differenza, ossia su fr. 7'925 (cfr. art. 102 cpv. 1 e 104 cpv. 1 CO e STCA 36.2019.114 del 20 settembre 2020, consid. 2.13).</w:t>
      </w:r>
    </w:p>
    <w:p>
      <w:r>
        <w:t>Lattrice ha inoltre diritto a fr. 131.50 al giorno dal 1° giugno 2023 fino ad esaurimento delle prestazioni, rispettivamente fino alleventuale ripristino della capacità lavorativa.</w:t>
      </w:r>
    </w:p>
    <w:p>
      <w:r>
        <w:t>Resta riservata la possibilità per la convenuta di computare, dal 1° marzo 2023 (doc. IV+1), limporto della rendita AI percepita dallattrice (cfr. art. __________ CGA), nella misura in cui il progetto di decisione dellAI verrà confermato.</w:t>
      </w:r>
    </w:p>
    <w:p>
      <w:r>
        <w:t>Lemissione della sentenza rende priva di oggetto la domanda di adozione di misure cautelari, a cui del resto lattrice ha da ultimo rinunciato (doc. XXIII).</w:t>
      </w:r>
    </w:p>
    <w:p>
      <w:r>
        <w:t>2.12.Non vanno prelevate spese processuali (art. 114 lett. e CPC).</w:t>
      </w:r>
    </w:p>
    <w:p>
      <w:r>
        <w:t>Allassicurata, rappresentata da un avvocato, vanno assegnate le ripetibili, calcolate conformemente a quanto previsto dallart. 11 del Regolamento sulla tariffa per i casi di patrocinio dufficio e di assistenza giudiziaria e per la fissazione delle ripetibili del 19 dicembre 2007 (RL 178.310), secondo cui, per le cause aventi un valore oltre i fr. 50'000.-- sino a fr. 100'000.-- le ripetibili sono stabilite mediante lapplicazione di una percentuale variabile tra l8% ed il 15%.</w:t>
      </w:r>
    </w:p>
    <w:p>
      <w:r>
        <w:t>In concreto, il valore di causa ammonta a fr.39'879.50, cui vanno aggiunte le indennità giornaliere che linteressata potrebbe conseguire fino allesaurimento delle prestazioni: 720 giorni  432 giorni già riconosciuti (compresi i 31 giorni di carenza e le indennità già riconosciute fino al 31 luglio 2022) = 288 giorni X fr. 131.50 = fr. 37872, per un importo complessivo di fr. 77'751.50.</w:t>
      </w:r>
    </w:p>
    <w:p>
      <w:r>
        <w:t>Lassicuratore pagherà allattrice un importo di fr. 7'000 (IVA inclusa) di ripetibili.</w:t>
      </w:r>
    </w:p>
    <w:p>
      <w:r>
        <w:t>Ciò rende priva di oggetto la domanda di gratuito patrocinio (DTF 124 V 310, consid. 6).</w:t>
      </w:r>
    </w:p>
    <w:p>
      <w:r>
        <w:t>2.13.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t>Per questi motivi</w:t>
      </w:r>
    </w:p>
    <w:p>
      <w:r>
        <w:t>dichiara e pronuncia</w:t>
      </w:r>
    </w:p>
    <w:p>
      <w:r>
        <w:t>2.  Non si percepisce tassa di giustizia, mentre le spese sono poste a carico dello Stato. CV 1 verserà allattrice fr. 7'000 (IVA inclusa) a titolo di ripetibili, ciò che rende priva di oggetto listanza di gratuito patrocinio.</w:t>
      </w:r>
    </w:p>
    <w:p>
      <w:r>
        <w:t>3.  Comunicazione alle parti e, a crescita in giudicato, alla FINMA, Berna.</w:t>
      </w:r>
    </w:p>
    <w:p>
      <w:r>
        <w:t>Contro il presente giudizio è dato ricorso in materia civile alTribunale federale, 1000 Losanna 14, entro 30 giorni dalla notificazione.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