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36.2022.19 vom 2. Juni 2022</w:t>
      </w:r>
    </w:p>
    <w:p>
      <w:r>
        <w:t>TI Tribunale d'appello, 2022-06-02, IT</w:t>
      </w:r>
    </w:p>
    <w:p>
      <w:r>
        <w:rPr>
          <w:b/>
        </w:rPr>
        <w:t xml:space="preserve">Quelle: </w:t>
      </w:r>
      <w:r>
        <w:t>https://mcp.opencaselaw.ch/entscheid/ti_gerichte_36.2022.19</w:t>
      </w:r>
    </w:p>
    <w:p>
      <w:r>
        <w:t>FR: TI_GERICHTE 36.2022.19 du 2 juin 2022</w:t>
      </w:r>
    </w:p>
    <w:p>
      <w:r>
        <w:t>IT: TI_GERICHTE 36.2022.19 del 2 giugno 2022</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 SVR 2015, EL Nr. 13, pag. 37 e seguenti).</w:t>
      </w:r>
    </w:p>
    <w:p>
      <w:r>
        <w:t>nel merito</w:t>
      </w:r>
    </w:p>
    <w:p>
      <w:r>
        <w:t>La durata del pagamento del salario dipende dalla durata del rapporto di lavoro (art. 324a cpv. 2 CO; sui criteri usualmente applicati dai tribunali in questi casi, cfr.Adrian Von Kaenel, op. cit., pag. 116 seg.).</w:t>
      </w:r>
    </w:p>
    <w:p>
      <w:r>
        <w:t>Salvo pattuizione contraria, l'obbligo di pagamento del salario in caso di malattia cessa con la fine del rapporto di lavoro (Hans-Rudolf Müller, Grundlagen der Krankentaggeldversicherung nach VVG, in: Krankentaggeldversicherung: Arbeits- und versicherungsrechtliche Aspekte, Zurigo2007, pag. 19-45, in particolare pag. 20).</w:t>
      </w:r>
    </w:p>
    <w:p>
      <w:r>
        <w:t>Queste norme configurano il regime legale di base a tutela del lavoratore, gli garantiscono una protezione minima alla quale non può essere derogato a suo svantaggio (art. 362 cpv. 1 CO; cfr. DTF 131 III 263 consid. 2.2 pag. 628).</w:t>
      </w:r>
    </w:p>
    <w:p>
      <w:r>
        <w:t>L'art. 324a cpv. 4 CO prevede la possibilità di derogare al regime di base legale appena descritto mediante accordo scritto, contratto normale o contratto collettivo che sancisca un ordinamento almeno equivalente per il lavoratore (sentenza 4A_92/2020 del 5 agosto 2020, consid. 3.1.1; 4A_563/2019 del 14 luglio 2020 pubblicata in DTF 146 III 339 consid. 5.2.3 che citaIvano Ranzanici, Les effets de lincapacité de travailler pour cause dune maladie successive à la résolution du contrat de travail, in: Regards croisés sur le droit du travail:Liber Amicorumpour Gabriel Aubert, 2015, pag. 271 e seguenti, in particolare pag. 272-274; sull'aspetto dell'equivalenza si veda ancheAdrian Von Kaenel, op. cit., pag. 120 segg. e la DTF 141 III 112 consid. 4.1-4.3).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w:t>
      </w:r>
    </w:p>
    <w:p>
      <w:r>
        <w:t>La deroga al regime di base deve essere pattuita in forma scritta.</w:t>
      </w:r>
    </w:p>
    <w:p>
      <w:r>
        <w:t>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w:t>
      </w:r>
    </w:p>
    <w:p>
      <w:r>
        <w:t>6.   Non vanno prelevate spese processuali (art. 114 lett. e CPC).</w:t>
      </w:r>
    </w:p>
    <w:p>
      <w:r>
        <w:t>Allassicuratore, rappresentato dal servizio giuridico interno, non vanno assegnate le ripetibili (cfr. art. 95 cpv. 1 lett. b CPC; cfr. ancheViktor Rüegg/Michael Rüegg, Basler Kommentar, 2017, 3a edizione, n. 18 ad art. 95 CPC, pag. 645 e n. 1 ad art. 114 CPC, pag. 701; cfr. sentenza 4A_194/2010 del 17 novembre 2010, consid. 2.2.1 non pubblicato in DTF 137 III 47 e sentenza 4A_535/2015 del 1° giugno 2016, consid. 6.4; cfr. anche sentenza 36.2020.56 del 25 gennaio 2021; sentenza 36.2020.24 del 17 agosto 2020; sentenza 36.2019.89 del 13 novembre 2019; sentenza 36.2017.109 del 5 marzo 2018; sentenza 36.2017.68 del 23 aprile 2018).</w:t>
      </w:r>
    </w:p>
    <w:p>
      <w:r>
        <w:t>7.   Lattrice chiede di essere posta al beneficio dellassistenza giudiziaria e del gratuito patrocinio dellavv. RA 1.</w:t>
      </w:r>
    </w:p>
    <w:p>
      <w:r>
        <w:t>Va qui rammentato che il requisito della probabilità di esito favorevole difetta quando le possibilità di vincere la causa sono così esigue che una persona di condizione agiata, dopo ragionevole riflessione, rinuncerebbe al processo in considerazione delle spese cui si esporrebbe (cfr. STF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Di primo acchito, dunque, si doveva concludere che il procedimento non aveva alcuna probabilità di esito favorevole (cfr. STF 9C_992/2012 del 27 marzo 2013 consid. 5; DTF 125 II 265 consid. 4c; STCA 42.2017.37 del 5 ottobre 2017;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t>9.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