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36.2021.50 vom 17. Januar 2022</w:t>
      </w:r>
    </w:p>
    <w:p>
      <w:r>
        <w:t>TI Tribunale d'appello, 2022-01-17, IT</w:t>
      </w:r>
    </w:p>
    <w:p>
      <w:r>
        <w:rPr>
          <w:b/>
        </w:rPr>
        <w:t xml:space="preserve">Quelle: </w:t>
      </w:r>
      <w:r>
        <w:t>https://mcp.opencaselaw.ch/entscheid/ti_gerichte_36.2021.50</w:t>
      </w:r>
    </w:p>
    <w:p>
      <w:r>
        <w:t>FR: TI_GERICHTE 36.2021.50 du 17 janvier 2022</w:t>
      </w:r>
    </w:p>
    <w:p>
      <w:r>
        <w:t>IT: TI_GERICHTE 36.2021.50 del 17 gennaio 2022</w:t>
      </w:r>
    </w:p>
    <w:p>
      <w:pPr>
        <w:pStyle w:val="Heading2"/>
      </w:pPr>
      <w:r>
        <w:t>Erwägungen</w:t>
      </w:r>
    </w:p>
    <w:p>
      <w:r>
        <w:rPr>
          <w:b/>
        </w:rPr>
        <w:t>E. 25</w:t>
      </w:r>
    </w:p>
    <w:p>
      <w:r>
        <w:t>agosto 2021 il dr. med. __________ ha affermato che:</w:t>
      </w:r>
    </w:p>
    <w:p>
      <w:r>
        <w:t>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 I 462/05 del 25 aprile 2007; STF U 329/01 e U 330/01 del 25 febbraio 2003; DTF 125 V 352 consid. 3a; DTF 122 V 160 consid. 1c;Pratique VSI 3/1997 pag. 123), bensì il suo contenuto (DTF 122 V 160 in fine con rinvii).</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(DTF 122 V 157). Per la giurisprudenza del Tribunale federale, nel caso in cui sussista anche il minimo dubbio sullaffidabilità e sulla concludenza dei pareri medici interni dellassicurazione, occorrerà sottoporre lassicurato a perizia medica esterna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a favore del proprio paziente in ragione del rapporto di fiducia che lo unisce a questultimo (sentenza 8C_85/2017 del 20 aprile 2018).</w:t>
      </w:r>
    </w:p>
    <w:p>
      <w:r>
        <w:t>2.6.   Alla luce della giurisprudenza del Tribunale federale (cfr. consid. 2.3.), i costi vanno fatturati secondo le tariffe per ricovero acutose i provvedimenti diagnostici e terapeutici necessari possono essere praticati in modo appropriato unicamente in un ospedale o se si sono esaurite le possibilità di una cura ambulatoriale e solo una terapia in ambito ospedaliero presenta delle possibilità di successo(STF 9C_447/2010 del 18 agosto 2010; STF K 158/04 del 21 marzo 2006; cfr. anche STF 9C_67/2014 del 5 febbraio 2015, consid. 2.1). È necessario che dal trattamento ospedaliero ci si possa attendere un notevole miglioramento dello stato di salute (STF K 158/04 del 21 marzo 2006).</w:t>
      </w:r>
    </w:p>
    <w:p>
      <w:r>
        <w:t>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w:t>
      </w:r>
    </w:p>
    <w:p>
      <w:r>
        <w:t>Se nessuna di queste ipotesi è adempiuta, lassicuratore assume le stesse prestazioni previste in caso di cura ambulatoriale secondo larticolo 25a LAMal (cfr. art. 49 cpv. 4 LAMal e art. 50 LAMal).</w:t>
      </w:r>
    </w:p>
    <w:p>
      <w:r>
        <w:t>2.7.   In concreto questo Tribunale, per i motivi qui di seguito esposti, non ha alcun motivo per scostarsi dalla decisione su opposizione impugnata.</w:t>
      </w:r>
    </w:p>
    <w:p>
      <w:r>
        <w:t>La documentazione prodotta dallinsorgente non apporta infatti elementi medici oggettivi a sostegno di una situazione che avrebbe richiesto una degenza in ospedale in seguito allintervento del 28 aprile 2020.</w:t>
      </w:r>
    </w:p>
    <w:p>
      <w:r>
        <w:t>Il ricorrente, in seguito alloperazione, non ha necessitato di alcun trattamento farmacologico, né ha avuto bisogno di provvedimenti diagnostici o terapeutici.</w:t>
      </w:r>
    </w:p>
    <w:p>
      <w:r>
        <w:t>Il medico operante, dr. med. __________, infatti, nel rapporto operatorio dell8 maggio 2020 fa stato unicamente della posa di un piccolo drenaggio tipo Mano-Vac e della sua rimozione il giorno seguente (cfr. allegato doc. 6), oltre che della chiusura del Dartos con una sutura continua di Vicryl 3/0, accostamento della pelle con dei punti donati di Vicryl 4/0 e medicazione protettiva (allegato doc. 6). Egli nello scritto destinato al medico curante, dr. med. __________, descrive un decorso privo di complicazioni. Il drenaggio scrotale è stato rimosso in 1agiornata postoperatoria. Il paziente è rientrato al domicilio il giorno seguente in ottime condizioni di salute (allegato doc. 6).</w:t>
      </w:r>
    </w:p>
    <w:p>
      <w:r>
        <w:t>Non vi è pertanto traccia di alcun motivo medico oggettivo per il quale linsorgente avrebbe dovuto trascorrere le due notti seguenti lintervento in ospedale.</w:t>
      </w:r>
    </w:p>
    <w:p>
      <w:r>
        <w:t>Certo, in seguito al rifiuto dellassicuratore di assumersi i costi della degenza, lo specialista ha precisato di aver posato il drenaggio scrotale a causa di un moderato sanguinamento della tonaca vaginale, non figurante nel rapporto operatorio, e per monitorare un eventuale sanguinamento ed evitare un ematoma (doc. 6).</w:t>
      </w:r>
    </w:p>
    <w:p>
      <w:r>
        <w:t>Tuttavia la posa del drenaggio è avvenuta unicamente a titolo cautelativo ed in ogni caso non risulta che necessitasse di una sorveglianza medica continua.</w:t>
      </w:r>
    </w:p>
    <w:p>
      <w:r>
        <w:t>Non vi sono invece indicazioni circa complicazioni che sarebbero intervenute in seguito alloperazione del 28 aprile 2020.</w:t>
      </w:r>
    </w:p>
    <w:p>
      <w:r>
        <w:t>Neppure letà del ricorrente (quasi 74 anni allepoca dellintervento, essendo nato il ___________ 1946), è un motivo per seguire la tesi ricorsuale. Il dr. med. __________ non ha infatti indicato patologie pregresse o altri fattori di rischio per lassicurato. Agli atti non figura alcun elemento medico oggettivo secondo il quale lintervento di idrocele monolaterale potesse portare a conseguenze negative per la salute dellinteressato.</w:t>
      </w:r>
    </w:p>
    <w:p>
      <w:r>
        <w:t>La circostanza che in altri casi analoghi vi siano state degenze di uno o due giorni che altri assicuratori malattie avrebbero pagato senza sollevare alcuna obiezione, non è un motivo per ritenere che la convenuta debba rimborsare i costi della degenza del ricorrente, ritenuto che ogni caso deve essere giudicato individualmente. Tantè che le degenze di cui fa cenno lassicurato non sono di uguale durata, ma variano tra uno e due giorni. Del resto in concreto il rischio di ecchimosi o di sanguinamenti era reso poco probabile grazie alla posa del drenaggio che non necessita di una sorveglianza medica continua. Inoltre, come evidenziato dallassicuratore in sede di risposta, linteressato, in caso di necessità, avrebbe potuto recarsi presso lospedale in poco tempo, ritenuto il breve percorso che avrebbe dovuto intraprendere e la circostanza che vive con tre altri membri della famiglia, tutti assai giovani, essendo nati nel 1969, 1999 e 2002 (cfr. decisione su opposizione).</w:t>
      </w:r>
    </w:p>
    <w:p>
      <w:r>
        <w:t>Ne segue che non vi sono elementi per ritenere che linteressato necessitasse di unospedalizzazione (Spitalbedürftigkeit") in seguitoallintervento del 28 aprile 2020.</w:t>
      </w:r>
    </w:p>
    <w:p>
      <w:r>
        <w:t>2.8.   Linsorgente fa valere la propria buona fede poiché in passato, nel 2009, lassicuratore ha rimborsato i costi di un intervento simile e della successiva degenza di due giorni presso la Clinica __________.</w:t>
      </w:r>
    </w:p>
    <w:p>
      <w:r>
        <w:t>2.11.Lart.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