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36.2021.27 vom 12. Juli 2021</w:t>
      </w:r>
    </w:p>
    <w:p>
      <w:r>
        <w:t>TI Tribunale d'appello, 2021-07-12, IT</w:t>
      </w:r>
    </w:p>
    <w:p>
      <w:r>
        <w:rPr>
          <w:b/>
        </w:rPr>
        <w:t xml:space="preserve">Quelle: </w:t>
      </w:r>
      <w:r>
        <w:t>https://mcp.opencaselaw.ch/entscheid/ti_gerichte_36.2021.27</w:t>
      </w:r>
    </w:p>
    <w:p>
      <w:r>
        <w:t>FR: TI_GERICHTE 36.2021.27 du 12 juillet 2021</w:t>
      </w:r>
    </w:p>
    <w:p>
      <w:r>
        <w:t>IT: TI_GERICHTE 36.2021.27 del 12 luglio 2021</w:t>
      </w:r>
    </w:p>
    <w:p>
      <w:pPr>
        <w:pStyle w:val="Heading2"/>
      </w:pPr>
      <w:r>
        <w:t>Regeste</w:t>
      </w:r>
    </w:p>
    <w:p>
      <w:r>
        <w:t>Assicurato non ha pagato i premi LAMal a causa di difficoltà finanziarie non dipendenti da sua volontà. Ha riconosciuto di esserne debitore, perciò la Cassa malati era legittimata ad avviare la procedura esecutiva volta a recuperare gli arretrati. Interessi dovuti, spese pure, ma ridotte</w:t>
      </w:r>
    </w:p>
    <w:p>
      <w:pPr>
        <w:pStyle w:val="Heading2"/>
      </w:pPr>
      <w:r>
        <w:t>Erwägungen</w:t>
      </w:r>
    </w:p>
    <w:p>
      <w:r>
        <w:rPr>
          <w:b/>
        </w:rPr>
        <w:t>E. 6</w:t>
      </w:r>
    </w:p>
    <w:p>
      <w:r>
        <w:t>pag. 374). L'audizione delle parti, che costituisce un aspetto del diritto di essere sentito, non è necessaria nella procedura d'istruzione che precede l'emanazione di decisioni impugnabili mediante opposizione. La LPGA contiene a questo proposito una regolamentazione esaustiva ( DTF 132 V 368 consid. 6). Con sentenza 9C_694/2008 del 7 ottobre 2009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 3.3 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Va rammentato che una violazione del diritto di essere sentito è sanabile se l'interessato ha la possibilità di esprimersi dinanzi a un'autorità di ricorso che gode del pieno potere di esame sui fatti e sul diritto ( STF 8C_482/2018 del 26 novembre 2018 consid. 4.4.2; DTF 135 I 279 consid. 2.6.1; DTF 124 V 180 consid. 4a). Ciò è il caso laddove l'assicurato h a potuto comprendere la portata della decisione formale e impugnare la successiva decisione su opposizione, confrontarsi con il suo contenuto e proporre le sue censure, facendo valere le sue ragioni innanzi ad un'autorità giudiziaria che gode del pieno potere cognitivo ( DTF 133 I 201 consid. 2.2) . Il TCA dispone in effetti di un pieno potere di esame in tal senso (STF 8C_923/2011 del 28 giugno 2012, consid. 2.3) e, in applicazione del principio inquisitorio, può assumere le prove che ritiene necessarie per il chiarimento della fattispecie (art. 61 lett. c LPGA). Come ricordato dalla STF 8C_482/2018 del 26 novembre 2018 consid. 4.4.2,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sentenza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3.   Nell'evenienza concreta, con l'opposizione l'assicurato ha chiesto alla Cassa malati un incontro per potere esporre i gravi motivi che l'hanno portato a non potere pagare i premi LAMal per i quali è stato escusso (doc. 18) e il 24 febbraio 2021 (doc. 19) essa gli ha risposto che " In questo periodo di restrizioni dovute alla pandemia covid-19 non è possibile fissare appuntamenti per incontrare i clienti. ". Lo stesso giorno, l'assicurato ha contattato telefonicamente CO 1 e dall'annotazione interna agli atti (doc. 20) risulta quanto segue: " Cliente chiama, avendo visto la mia telefonata di ieri, mi informa della situazione. Lui è amministratore delegato di una società in Svizzera di 8 anni. Hanno una causa penale in corso dovuta alla loro fiduciaria, la quale ha coinvolto i clienti in questa procedura. A seguito di questo hanno perso grossi clienti ed il covid ha fatto il resto. Visto con il cliente la situazione ed informato di cosa pagare per evitare ulteriori esecuzioni. Mi richiama entro il</w:t>
      </w:r>
    </w:p>
    <w:p>
      <w:r>
        <w:rPr>
          <w:b/>
        </w:rPr>
        <w:t>E. 10</w:t>
      </w:r>
    </w:p>
    <w:p>
      <w:r>
        <w:t>Il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 In concreto il ricorso ha per oggetto la fissazione di contributi sotto forma di premi assicurativi LAMal, perciò la procedura è onerosa ed è quindi applicabile l'art. 29 cpv. 4 Lptca, secondo cui la tassa di giustizia, quando è dovuta, è fissata tra 200 e 1'000 franchi. Alla luce dell'esito del gravame, la stessa va ripartita tra il ricorrente e l'assicuratore, parzialmente soccombente.</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 cui queste spese non fanno correttamente parte del rigetto dell'opposizione, ma rimangono a carico del debitore escusso. 9.   Alla luce di quanto esposto la decisione su opposizione impugnata deve essere riformata e il ricorso va parzialmente accolto. L'opposizione al precetto esecutivo n. __________ del 22 dicembre 2020 emesso dall'Ufficio di esecuzione di __________ è rigettata in via definitiva per l'importo di Fr. 881,55, oltre alle spese di diffida di Fr. 120.- e agli interessi di mora del 5%. All'assicurato, benché parzialmente vincente in causa, siccome non patrocinato non vanno riconosciute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