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36.2020.27 vom 15. Oktober 2020</w:t>
      </w:r>
    </w:p>
    <w:p>
      <w:r>
        <w:t>TI Tribunale d'appello, 2020-10-15, IT</w:t>
      </w:r>
    </w:p>
    <w:p>
      <w:r>
        <w:rPr>
          <w:b/>
        </w:rPr>
        <w:t xml:space="preserve">Quelle: </w:t>
      </w:r>
      <w:r>
        <w:t>https://mcp.opencaselaw.ch/entscheid/ti_gerichte_36.2020.27</w:t>
      </w:r>
    </w:p>
    <w:p>
      <w:r>
        <w:t>FR: TI_GERICHTE 36.2020.27 du 15 octobre 2020</w:t>
      </w:r>
    </w:p>
    <w:p>
      <w:r>
        <w:t>IT: TI_GERICHTE 36.2020.27 del 15 ottobre 2020</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Queste prestazioni comprendono in particolare i medicamenti prescritti dal medico (art. 25 cpv. 2 lett. b LAMal).</w:t>
      </w:r>
    </w:p>
    <w:p>
      <w:r>
        <w:t>Conformemente allart. 34 cpv. 1 LAMal per lassicurazione obbligatoria delle cure medico-sanitarie, gli assicuratori non possono assumere altri costi oltre quelli delle prestazioni ai sensi degli articoli 25-33.</w:t>
      </w:r>
    </w:p>
    <w:p>
      <w:r>
        <w:t>Le prestazioni di cui agli articoli 25-31 devono essere efficaci, appropriate ed economiche. Lefficacia deve essere comprovata secondo metodi scientifici (art. 32 cpv. 1 LAMal).</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2.4.   Conformemente allart. 52 cpv. 1 lett. b LAMal (in relazione con lart. 34 OAMal), lUfficio federale, dopo aver sentito le competenti commissioni e conformemente ai principi di cui agli articoli 32 capoverso 1 e 43 capoverso 6, appronta un elenco delle specialità farmaceutiche e dei medicamenti confezionati, con lindicazione dei prezzi (elenco delle specialità). Tale elenco deve contenere anche i prodotti generici a prezzi più vantaggiosi che possono sostituire i preparati originali.</w:t>
      </w:r>
    </w:p>
    <w:p>
      <w:r>
        <w:t>Per lart. 73 OAMal lammissione in un elenco può essere vincolata a limitazioni. La limitazione può segnatamente concernere la quantità e le indicazioni mediche.</w:t>
      </w:r>
    </w:p>
    <w:p>
      <w:r>
        <w:t>Queste limitazioni sono degli strumenti di controllo delleconomicità e non una forma di razionalizzazione delle prestazioni (RAMI 2001, KV 158 pag. 158 consid.2d). Hanno inoltre come scopo di escludere o limitare la possibilità di utilizzare abusivamente medicamenti dellelenco delle specialità (DTF 129 V 42 consid. 5.2 in fine; RAMI 2004 KV 272 p. 113 consid. 3.3.1; cfr. anche DTF 128 V 167 consid. 5c/bb/bbb).</w:t>
      </w:r>
    </w:p>
    <w:p>
      <w:r>
        <w:t>Tra le disposizioni desecuzione emanate dal Consiglio federale agli art. 64a e seguenti OAMal, rispettivamente dal Dipartimento (sulla base dellart. 75 OAMal), agli art. 30 segg. OPre, lart. 65 cpv. 1 OAMal prevede che un medicamento può essere ammesso nellelenco delle specialità se è stato validamente omologato dallIstituto svizzero per gli agenti terapeutici (Swissmedic).</w:t>
      </w:r>
    </w:p>
    <w:p>
      <w:r>
        <w:t>Per lart. 1 cpv. 1 della legge federale sui medicamenti e i dispositivi medici (legge sugli agenti terapeutici, LATer, RS 812.21), la legge, nellintento di tutelare la salute delle persone e degli animali, si prefigge di garantire che vengano immessi in commercio soltanto agenti terapeutici di elevato valore qualitativo, sicuri ed efficaci.</w:t>
      </w:r>
    </w:p>
    <w:p>
      <w:r>
        <w:t>Chi chiede lomologazione di un medicamento o di un procedimento è tenuto ad attestare che il medicamento o il procedimento è di elevato valore qualitativo, sicuro ed efficace (art. 10 cpv. 1 lett. a LATer nel tenore in vigore dal 1° gennaio 2019). Un medicamento non sarà autorizzato se emerge dalla documentazione che presenta un rapporto beneficio-rischio negativo al momento dellutilizzo al quale è destinato, se non ha lefficacia terapeutica voluta o se questa non è sufficientemente provata, o ancora se la sua composizione non corrisponde a quella indicata (Messaggio del 1° marzo 1999, FF 1999 3151 seg.).</w:t>
      </w:r>
    </w:p>
    <w:p>
      <w:r>
        <w:t>Per lart. 11 cpv. 1 LATer, nel tenore in vigore dal 1° gennaio 2019, la domanda di omologazione deve contenere tutti i dati e i documenti necessari alla valutazione, in particolare la designazione del medicamento (lett. a), il nome del fabbricante e del distributore (lett. b) e il metodo di fabbricazione, la composizione, la qualità e la conservabilità del medicamento (lett. c).</w:t>
      </w:r>
    </w:p>
    <w:p>
      <w:r>
        <w:t>Ai sensi dellart. 11 cpv. 2 lett. a LATer nel tenore in vigore dal 1° gennaio 2019, per lomologazione dei medicamenti con menzione dellindicazione, occorre inoltre fornire i seguenti dati e documenti: 1. I risultati degli esami fisici, chimici, galenici e biologici o microbiologici; 2. I risultati degli esami farmacologici, tossicologici e clinici, compresi tutti i risultati riguardanti gli esami compiuti in gruppi particolari dalla popolazione; 3. Le proprietà terapeutiche e gli effetti indesiderati; 4. La caratterizzazione del prodotto, le informazioni relative al medicamento e le modalità di dispensazione e duso; 5. Una valutazione dei rischi e, se necessario, un piano di rilevamento, analisi e prevenzione sistematici dei rischi (piano di farmacovigilanza), 6. Il piano dindagine pediatrica ai sensi dellarticolo 54a.</w:t>
      </w:r>
    </w:p>
    <w:p>
      <w:r>
        <w:t>Tra le esigenze relative allinformazione professionale sul medicamento destinata alle persone autorizzate alla prescrizione, alla dispensazione o allutilizzazione di medicamenti per uso umano (art. 13 dellOrdinanza dellIstituto svizzero per gli agenti terapeutici concernente i requisiti per lomologazione di medicamenti; Ordinanza per lomologazione di medicamenti, OOMed, RS 812.212.22), il richiedente deve menzionare, tra i requisiti, le indicazioni e le possibilità dimpiego del medicamento (art. 3 punto 4 dellallegato 4 allOOMed).</w:t>
      </w:r>
    </w:p>
    <w:p>
      <w:r>
        <w:t>Linformazione professionale è di principio pubblicata nel compendio svizzero dei medicamenti (cfr. DTF 130 V 532, consid. 3.2.1).</w:t>
      </w:r>
    </w:p>
    <w:p>
      <w:r>
        <w:t>La procedura domologazione da parte di Swissmedic è retta dallOrdinanza sui medicamenti del 21 settembre 2018 (OM, RS 812.212.21).</w:t>
      </w:r>
    </w:p>
    <w:p>
      <w:r>
        <w:t>2.5.   Il TFA (dal 1° gennaio 2007: TF),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 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TFA (dal 1° gennaio 2007: TF)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Da notare che in seguito allammissione del medicamento Myozyme© nellelenco delle specialità con limitazioni restrittive e, in relazione al prezzo iniziale, con costi per fiala diminuiti in modo rilevante, il Tribunale federale, in DTF 142 V 478, ha evidenziato che, se le limitazioni sono rispettate, non vi è spazio per un esame dell'economicità in un caso concreto. LAlta Corte ha lasciato aperta la questione di sapere se gli assicuratori malattia possono, in un caso concreto di trattamento con un medicamento che figura nell'elenco delle specialità, impugnare con ricorso l'assenza di economicità (consid. 6.4).</w:t>
      </w:r>
    </w:p>
    <w:p>
      <w:r>
        <w:t>Cfr. anche DTF 139 V 375 e sentenza 9C_572/2013 del 27 novembre 2013, consid. 2.</w:t>
      </w:r>
    </w:p>
    <w:p>
      <w:r>
        <w:t>2.6.Il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w:t>
      </w:r>
    </w:p>
    <w:p>
      <w:r>
        <w:t>Ai sensi dellart. 71a OAMal:</w:t>
      </w:r>
    </w:p>
    <w:p>
      <w:r>
        <w:t>"1Lassicurazione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w:t>
      </w:r>
    </w:p>
    <w:p>
      <w:r>
        <w:t>a. limpiego del medicamento costituisce un presupposto indispensabile per lesecuzione di unaltra prestazione assunta dallassicurazione obbligatoria delle cure medico-sanitarie e tale prestazione è chiaramente predominante;</w:t>
      </w:r>
    </w:p>
    <w:p>
      <w:r>
        <w:t>oppure</w:t>
      </w:r>
    </w:p>
    <w:p>
      <w:r>
        <w:t>b.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w:t>
      </w:r>
    </w:p>
    <w:p>
      <w:r>
        <w:t>2Lassicurazione obbligatoria delle cure medico-sanitarie assume i costi del medicamento soltanto previa garanzia speciale dellassicuratore e previa consultazione del medico di fiducia.</w:t>
      </w:r>
    </w:p>
    <w:p>
      <w:r>
        <w:t>3I costi assunti devono essere proporzionati al beneficio terapeutico. Lassicuratore stabilisce limporto della rimunerazione. Il prezzo iscritto nellelenco delle specialità è considerato il prezzo massimo.</w:t>
      </w:r>
    </w:p>
    <w:p>
      <w:r>
        <w:t>Per lart. 71b OAMal:</w:t>
      </w:r>
    </w:p>
    <w:p>
      <w:r>
        <w:t>"1Lassicurazione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71acapoverso 1 lettera a o b.</w:t>
      </w:r>
    </w:p>
    <w:p>
      <w:r>
        <w:t>2Essa assume i costi di un medicamento non omologato dallIstituto, che devessere importato secondo la legge sugli agenti terapeutici, se le condizioni di cui allarticolo 71acapoverso 1 lettera a o b sono adempiute e il medicamento è omologato per la corrispondente indicazione da uno Stato con un sistema di omologazione equivalente riconosciuto dallIstituto.</w:t>
      </w:r>
    </w:p>
    <w:p>
      <w:r>
        <w:t>3Lassicurazione obbligatoria delle cure medico-sanitarie assume i costi del medicamento soltanto previa garanzia speciale dellassicuratore e previa consultazione del medico di fiducia.</w:t>
      </w:r>
    </w:p>
    <w:p>
      <w:r>
        <w:t>4I costi assunti devono essere proporzionati al beneficio terapeutico. Lassicuratore stabilisce limporto della rimunerazione.</w:t>
      </w:r>
    </w:p>
    <w:p>
      <w:r>
        <w:t>Il 1° marzo 2017 è entrata in vigore una modifica degli art. 71a e seguenti OAMal.</w:t>
      </w:r>
    </w:p>
    <w:p>
      <w:r>
        <w:t>Per lart. 71a cpv. 2 OAMal lassicuratore stabilisce limporto della rimunerazione dintesa con il titolare dellomologazione. Il prezzo da rimunerare deve essere inferiore al prezzo massimo iscritto nellelenco delle specialità.</w:t>
      </w:r>
    </w:p>
    <w:p>
      <w:r>
        <w:t>Lart. 71b OAMal (assunzione dei costi di un medicamento omologato dallIstituto non ammesso nellelenco delle specialità) prevede al cpv. 1 che 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 capoverso 1 lettera a o b. Per il cpv. 2 lassicuratore stabilisce limporto della remunerazione dintesa con il titolare dellomologazione.</w:t>
      </w:r>
    </w:p>
    <w:p>
      <w:r>
        <w:t>Secondo lart. 71c OAMal (assunzione dei costi di un medicamento importato non omologato dallIstituto) il cpv. 1 prevede che lassicurazione obbligatoria delle cure medico-sanitarie assume i costi di un medicamento pronto per luso non omologato dallIstituto, che può essere importato secondo la legge sugli agenti terapeutici, se le condizioni di cui allarticolo 71a capoverso 1 lettera a o b sono adempiute e il medicamento è omologato per la corrispondente indicazione da uno Stato con un sistema di omologazione riconosciuto equivalente dallistituto.</w:t>
      </w:r>
    </w:p>
    <w:p>
      <w:r>
        <w:t>Secondo il cpv. 2 lassicuratore rimunera i costi a cui il medicamento è importato dallestero. Il fornitore di prestazioni sceglie il Paese dimportazione del medicamento prestando attenzione ai costi.</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le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Il Consiglio federale ha così commentato le modifiche (cfr. www.admin.ch, comunicato stampa del 6 luglio 2016 nuove modalità per il riesame dei prezzi dei medicamenti):</w:t>
      </w:r>
    </w:p>
    <w:p>
      <w:r>
        <w:t>"() Il Consiglio federale intende adeguare anche le disposizioni che concernono il rimborso nel singolo caso. Finora erano disciplinate le condizioni alle quali un medicamento poteva essere rimborsato dallAOMS se non era iscritto nellelenco delle specialità (ES), non era destinato al trattamento di una determinata malattia o non poteva essere omologato da Swissmedic (cosiddetti off-limitation-use oppure off-label-use). In questi casi un rimborso è possibile se non è disponibile un altro trattamento omologato efficace e se la malattia può avere esito letale o può provocare danni gravi e cronici alla salute. Per ogni medicamento in questione il medico curante deve presentare una domanda di garanzia di assunzione dei costi allassicuratore malattie, che decide dopo essersi consultato con il medico di fiducia. Dora in poi questa decisione dovrà essere presa entro due settimane. Lassicuratore malattie continuerà a decidere il prezzo al quale il medicamento sarà rimborsato, ma in futuro rimborserà al massimo soltanto il 90 per cento del prezzo figurante nellES. Per i medicamenti importati sarà rimborsato il prezzo effettivo. Unaltra novità è costituita dal disciplinamento più chiaro dellobbligo delle industrie farmaceutiche di partecipare al processo di fissazione dei prezzi.</w:t>
      </w:r>
    </w:p>
    <w:p>
      <w:r>
        <w:t>Gli adeguamenti fanno parte dellattuazione del Programma nazionale malattie rare che, sotto legida dellUfficio federale della sanità pubblica (UFSP), intende garantire cure mediche di qualità alle persone che ne sono affette.</w:t>
      </w:r>
    </w:p>
    <w:p>
      <w:r>
        <w:t>2.7.Con sentenza pubblicata in DTF 142 V 26 (cfr. anche DTF 143 V 139; DTF 144 V 14)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In una sentenza 9C_711/2016, 9C_716/2016 del 9 maggio 2017 pubblicata in DTF 143 V 130 il Tribunale federale ha applicato lart. 71b cpv. 2 OAMal nella versione in vigore fino al 28 febbraio 2017 nellambito di una richiesta di assunzione dei costi del farmaco orfanoSCENESSE®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w:t>
      </w:r>
    </w:p>
    <w:p>
      <w:r>
        <w:t>Va ancora evidenziato che con sentenza 9C_730/2017, 9C_737/2017 del 7 agosto 2018, pubblicata in DTF 144 V 333, il Tribunale federale ha stabilito che lart. 71b cpv. 1 OAMalmalgrado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(consid. 10.6).</w:t>
      </w:r>
    </w:p>
    <w:p>
      <w:r>
        <w:t>2.8.   In concreto l8 maggio 2019 il dr. med. __________, medico aggiunto, specialista in allergologia, immunologia clinica e medicina interna, membro FMH, ha scritto allassicuratore affermando che linteressata soffre di una carenza immunitaria umorale, con tendenza a soffrire di sinusiti e faringiti recidivanti, necessitanti cure antibiotiche ripetute. Gli esami di laboratorio hanno evidenziato, a più riprese, deficit delle sottoclassi IgG2 e IgG3. Inoltre, immunità debole contro gli pneumococchi, ciò che ha motivato lesecuzioni di vaccini Prevenar®-13 in data 26 ottobre 2018 e di Pneumovax®-26 in data 19 dicembre 2018. Egli ha evidenziato come lassicurata ha però continuato in seguito a soffrire di sinusiti e faringiti. Lepisodio più recente ha luogo attualmente, con sinusite richiedente una cura antibiotica. Si tratta pertanto di una carenza immunitaria con deficit in anticorpi con chiara pertinenza clinica ed ha chiesto la garanzia per lassunzione dei costi di una sostituzione endovenosa con immunoglobine (Privigen®). Il curante ha concluso affermando che possiamo a priori considerare senzaltro come molto elevate le probabilità di successo della cura, la cui lefficacia sarà comunque naturalmente valutata con attenzione dopo alcuni mesi di terapia (doc. 2).</w:t>
      </w:r>
    </w:p>
    <w:p>
      <w:r>
        <w:t>Il 15 luglio 2019 il curante ha ribadito la sua posizione (doc. 3). Il 4 settembre 2019 lo specialista ha trasmesso il diario clinico redatto dallassicurata (doc. 4), la quale ha affermato:</w:t>
      </w:r>
    </w:p>
    <w:p>
      <w:r>
        <w:t>Il 16 ottobre 2019 il dr. med. __________ ha trasmesso allassicuratore i valori attuali delle immunoglobine, il cui risultato conferma i deficit in sottoclassi IgG2 e IgG3 (doc. 5).</w:t>
      </w:r>
    </w:p>
    <w:p>
      <w:r>
        <w:t>Il</w:t>
      </w:r>
    </w:p>
    <w:p>
      <w:r>
        <w:rPr>
          <w:b/>
        </w:rPr>
        <w:t>E. 7</w:t>
      </w:r>
    </w:p>
    <w:p>
      <w:r>
        <w:t>novembre 2019 lassicuratore ha riconosciuto lassunzione dei costi del farmaco ed ha comunicato che avrebbe rimborsato il medicamento per la durata, per il momento, di 3 mesi e 3 mesi di pausa della terapia (doc. 6).</w:t>
      </w:r>
    </w:p>
    <w:p>
      <w:r>
        <w:t>Il 15 gennaio 2020 il dr. med. __________ ha comunicato allassicuratore che da quando la terapia di Privigen® ha avuto inizio (15.11.2019), vi è stato in effetti un netto miglioramento sul piano clinico. La paziente non ha più dovuto assumere alcuna terapia antibiotica né altri farmaci. Ciò in quanto non si sono più verificati episodi infettivi a carica della sfera ORL o delle vie respiratorie. Per questo motivo, sarebbe auspicabile poter continuare la terapia senza interruzioni anche durante i mesi di febbraio, marzo e aprile (a causa del rischio aumentato di infezioni nel periodo invernale) (doc. 8).</w:t>
      </w:r>
    </w:p>
    <w:p>
      <w:r>
        <w:t>Il 16 marzo 2020 il curante ha affermato che nellambito della nota carenza immunitaria caratterizzata sul piano clinico a soffrire di faringiti e sinusiti recidivanti, nellambito di un deficit in sottoclassi IgG2 e IgG3, la somministrazione più recente di Privigen® risale al 17.01.2020. Come già segnalato in precedenza, sin da subito vi era stata unevoluzione favorevole in seguito allintroduzione della sostituzione endovenosa con immunoglobine. Attualmente, a distanza di due mesi dallultima perfusione, vi è una chiara recidiva dei disturbi abituali (in particolare, faringite). Devo pertanto reiterare una richiesta di ripresa il più presto possibile della terapia con Privigen®, la quale a mio parere ha dimostrato chiaramente la propria efficacia nel caso specifico. Ciò anche naturalmente in un periodo invernale, con presenza di numerosi agenti patogeni e nella ben nota situazione epidemiologica attuale (doc. G).</w:t>
      </w:r>
    </w:p>
    <w:p>
      <w:r>
        <w:t>Il 24 marzo 2020 lassicuratore ha informato il curante di essere daccordo di prolungare lassunzione dei costi del medicamento di ulteriori 3 mesi (doc. 11).</w:t>
      </w:r>
    </w:p>
    <w:p>
      <w:r>
        <w:t>Il 1° aprile 2020 il dr. med. __________, posta la diagnosi di carenza immunitaria con infezioni ORL acute recidivanti (faringiti e sinusiti) e deficit in sottoclassi (IgG2 e IgG3), assenza di eventuale diatesi atopica respiratoria, noduli tiroidei e esiti di tonsillectomia, ha affermato:</w:t>
      </w:r>
    </w:p>
    <w:p>
      <w:r>
        <w:t>Il 29 aprile 2020 il medico fiduciario, dr. med. __________, FA Rheumatologie (entzündlich-rheumatische sind immunologische Erkrankungen), ha preso posizione, rilevando:</w:t>
      </w:r>
    </w:p>
    <w:p>
      <w:r>
        <w:t>Il 14 maggio 2020 il dr. med. __________, FMH reumatologia, ha affermato:</w:t>
      </w:r>
    </w:p>
    <w:p>
      <w:r>
        <w:t>Il 15 maggio 2020 il dr. med. __________ si è nuovamente espresso, ponendo la diagnosi di carenza immunitaria con infezioni ORL, acute recidivanti (faringiti e rino-sinusiti), deficit in sottoclassi IgG2 e IgG3, immunità debole contro gli pneumococchi (ottobre 2018), con buona risposta ai vaccini Prevenar®-23 (rispettivamente il 26.10.2018 e il 19.12.2018), episodi recidivanti di emottisi 2020, patologia del labbro acetabolare ed edema dellarticolazione sacro-iliaca sx, assenza di eventuale diatesi atopica respiratoria, noduli tiroidei, esiti di tonsillectomia (doc. 15). Dopo aver riassunto quanto già stabilito in precedenza, il curante ha aggiunto:</w:t>
      </w:r>
    </w:p>
    <w:p>
      <w:r>
        <w:t>Il 27 maggio 2020 il medico fiduciario, dr. med. __________, ha affermato:</w:t>
      </w:r>
    </w:p>
    <w:p>
      <w:r>
        <w:t>Il 18 agosto 2020 il TCA ha interpellato il dr. med. __________, affermando:</w:t>
      </w:r>
    </w:p>
    <w:p>
      <w:r>
        <w:t>Il 1° settembre 2020 il dr. med. __________ ha risposto, affermando:</w:t>
      </w:r>
    </w:p>
    <w:p>
      <w:r>
        <w:t>2.9.   In concreto è pacifico che il farmaco Privigen®figura nellelenco delle specialità.</w:t>
      </w:r>
    </w:p>
    <w:p>
      <w:r>
        <w:t>Privigen® è un medicamento utilizzato per trattare un déficit immunitaire primaire, déficit immunitaire secondaire chez les patients avec infection sévère ou récurrente en cas dinefficacité dun traitement antimicrobien et soit daugmentation insuffisante avérée des anticorps vaccinaux soit de taux dIgG&lt;4 g/l, purpura thrombopénique immunologique chez ladulte et lenfant avec risque élevé dhémorragies, syndrome de Guillain-Barré, syndrome de Kawasaki, polyradiculoneuropathie inflammatoire démyélisante chronique (PIDC), neuropathie motrice multifocale (NMM), allogreffe de moelle osseuse(cfr. informazione destinata ai pazienti approvata da Swissmedic, in:https://compendium.ch).</w:t>
      </w:r>
    </w:p>
    <w:p>
      <w:r>
        <w:t>La limitatio prevede che è ammesso soltanto nei casi di sindromi provocati dallassenza di anticorpi e di porpora idiopathica thrombocitopenica, sindrome di Guillan-Barré, malattia di Kawasaki e polineuropatia cronica infiammatoria demielinizzante (CIDP).</w:t>
      </w:r>
    </w:p>
    <w:p>
      <w:r>
        <w:t>Il compendium limita dunque lassunzione dei costi del farmaco ai casi delle patologie ivi elencate.</w:t>
      </w:r>
    </w:p>
    <w:p>
      <w:r>
        <w:t>Questa limitazione costituisce uno strumento di controllo delleconomicità e non una forma di razionalizzazione delle prestazioni (cfr. DTF 130 V 532 consid. 3.1, RAMI 2001 KV 158 pag. 158 consid. 2d). Essa ha inoltre quale scopo quello di escludere o limitare la possibilità di utilizzare in maniera abusiva medicamenti della lista delle specialità (DTF 130 V 532 consid. 3.1, DTF 129 V 42 consid. 5.2; cfr. anche DTF 128 V 167 consid. 5c/bb/bbb).</w:t>
      </w:r>
    </w:p>
    <w:p>
      <w:r>
        <w:t>Il giudice deve far prova di riserbo quando esamina le limitazioni (cfr. sentenza K46/03 del 16 settembre 2003, consid. 2.5).</w:t>
      </w:r>
    </w:p>
    <w:p>
      <w:r>
        <w:t>Del resto non ogni applicazione possibile di questo prodotto, nei limiti sopra evocati, va considerata appropriata ed economica ogni volta che esiste una qualche possibilità di successo sulla base di constatazioni cliniche o di altre esperienze (cfr. DTF 130 V 532 consid. 5.1).</w:t>
      </w:r>
    </w:p>
    <w:p>
      <w:r>
        <w:t>Al contrario, occorre partire dal presupposto chePrivigen® èstato inserito nellelenco delle specialità per le indicazioni e con le limitazioni autorizzate da Swissmedic.</w:t>
      </w:r>
    </w:p>
    <w:p>
      <w:r>
        <w:t>Per queste indicazioni il medicamento può essere considerato come efficace, appropriato ed economico (cfr. RAMI 2004 KV 272, pag. 117, consid. 4.3.1.1) e deve di conseguenza essere rimborsato dallassicurazione obbligatoria di base. Infatti, prima di ammettere il medicamento nellelenco delle specialità è stato necessario esaminarne lefficacia, lappropriatezza e leconomicità rispetto alle indicazioni e al dosaggio autorizzati da Swissmedic, per quanto concerne le caratteristiche di questo prodotto risultante dallinformazione professionale e approvato dallistituto (cfr. DTF 130 V 532 consid. 5.1).</w:t>
      </w:r>
    </w:p>
    <w:p>
      <w:r>
        <w:t>In DTF 130 V 532 il Tribunale federale ha affermato che di principio, un medicamento figurante nellelenco delle specialità può essere preso a carico dellassicurazione malattia sociale soltanto se è stato prescritto per delle indicazioni mediche conformi a quelle approvate da Swissmedic. Risulta infatti dal sistema di ammissionedei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w:t>
      </w:r>
    </w:p>
    <w:p>
      <w:r>
        <w:t>Lesame delleconomicità e del valore terapeutico del medicamento implica che il citato medicamento sarà considerato efficace, economico e appropriato solo per le indicazioni ivi riportate. Lesame non è infatti effettuato astrattamente, bensì sempre rispetto alle caratteristiche concrete del medicamento; ne fanno in particolare parte, le indicazioni mediche per le quali lammissione è stata autorizzata perché lefficacia terapeutica è stata dimostrata per una o più patologie determinate (cfr. DTF 130 V 532 consid. 5.2). Un medicamento figurante nellelenco dellespecialità, utilizzato - "al di fuori dell'etichetta" - per altre indicazioni rispetto a quelle autorizzate da Swissmedic e alle quali fa riferimento l'istruzione destinata agli specialisti, non è assunto dall'assicurazione obbligatoria per le cure medico-sanitarie. Cionondimeno occorre riconoscere due eccezioni a questo principio (consid. 6).</w:t>
      </w:r>
    </w:p>
    <w:p>
      <w:r>
        <w:t>In virtù della giurisprudenza (cfr. in particolare la DTF 130 V 532), il rimborso da parte dellassicurazione di base del Privigen®per un uso diverso da quello previsto, riservate le eccezioni di cui allOAMal, deve essere escluso, indipendentemente dalle esperienze fatte da altri medici (cfr. DTF 130 V 532 consid. 5.4.2).</w:t>
      </w:r>
    </w:p>
    <w:p>
      <w:r>
        <w:t>Come rammenta la dottrina (Eugster, Bundesgesetz über die Krankenversicherung [KVG], 2010, pag. 137 n. 33 ad art. 25), Der KVers kann die allgemeinen Eigenschaften der Wirksamkeit, Zweckmässigkeit und Wirtschaftlichkeit von Medikamenten der SL oder AIT nicht in Frage stellen (vgl. a. K 123/00 E. 2c), dagegen prüfen, ob ihr Einsatz im konkreten Behandlungsfall indiziert und wirtschaftlich ist. Wird keine klassenpflichtige Behandlungsmethode angewendet oder liegt keine Krankheitsbehandlung vor, sind Medikamente auch dann nicht zu übernehmen, wenn diese in der ALT oder SL, aufgeführt sind.</w:t>
      </w:r>
    </w:p>
    <w:p>
      <w:r>
        <w:t>2.10.   Nel caso di specie lassicuratore con la decisione formale del 2 marzo 2020 aveva sostenuto che nel presente caso non è la limitazione del preparato a rappresentare un problema (doc. A, punto 2.5) e con la decisione su opposizione impugnata non sembrava aver modificato la propria opinione (doc. A).</w:t>
      </w:r>
    </w:p>
    <w:p>
      <w:r>
        <w:t>Ciò di principio implica la presa a carico del costo del farmaco (cfr. RAMI 2004 KV 272, pag. 117, consid. 4.3.1.1 e DTF 130 V 532 consid. 5.1), restando comunque riservata la questione di sapere se lutilizzo del medicamento nel preciso caso concreto è indicato per la cura della patologia e se rispetta il principio delleconomicità (Eugster, Bundesgesetz über die Krankenversicherung [KVG], 2010, pag. 137 n. 33 ad art. 25; cfr. anche art. 32 LAMal).</w:t>
      </w:r>
    </w:p>
    <w:p>
      <w:r>
        <w:t>Nelle more processuali tuttavia il medico fiduciario, dr. med. __________, ha messo in dubbio che la patologia di cui è affetta la ricorrente rientra nella limitazione prevista per il farmaco in questione, sostenendo non essere adempiuto il criterio della sindrome provocata dallassenza di anticorpi e lassicuratore ha fatto propria questa contestazione (doc. 12; cfr. anche risposta, doc. IV, pag. 12).</w:t>
      </w:r>
    </w:p>
    <w:p>
      <w:r>
        <w:t>Lopinione del medico curante, dr. med. __________ e del medico fiduciario, dr. med. __________, entrambi specialisti, divergono su questo punto.</w:t>
      </w:r>
    </w:p>
    <w:p>
      <w:r>
        <w:t>Il curante sembra infatti sostenere che la ricorrente rientra nella limitatio del farmaco Privigen® giacché sarebbe affetta da una carenza immunitaria umorale, caratterizzata da deficit in sottoclassi IgG2 e IgG3 con pertinenza clinica (doc. XXIII).</w:t>
      </w:r>
    </w:p>
    <w:p>
      <w:r>
        <w:t>La divergenza non ha potuto essere risolta neppure dopo linterpello da parte del TCA del dr. med. __________, il quale insiste nel ritenere che la propria paziente rientra nei limiti previsti dalla limitatio del farmaco in esame (cfr. risposta alla domanda 1, doc, XXIII).</w:t>
      </w:r>
    </w:p>
    <w:p>
      <w:r>
        <w:t>La questione è dimportanza, giacché se ciò fosse il caso, di principio lassicuratore sarebbe tenuto a rimborsare i costi del farmaco,restando comunque riservata la questione di sapere se lutilizzo del medicamento nel preciso caso concreto è indicato per la cura della patologia e se rispetta il principio delleconomicità. In caso contrario andrebbe ancora esaminato se la ricorrente rientra nelle eccezioni di cui allart. 71a cpv. 1 lett. b OAMal.</w:t>
      </w:r>
    </w:p>
    <w:p>
      <w:r>
        <w:t>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2.11.   Chiamata ora a pronunciarsi,questa Corte non può confermare la decisione dellamministrazione che non ritiene dimostrata la presenza di una sindrome provocata dallassenza di anticorpi, né lefficacia e leconomicità del trattamento e che non ha sufficientemente esaminato le condizioni di cui allart. 71a cpv. 1 lett. b OAMal. In effetti agli atti figurano valutazioni tra loro contraddittorie che non consentono a questo Tribunale di decidere, in un senso oppure nellaltro. In particolare, i rapporti del dr. med. __________ sono atti a generare dubbi più che lievi circa la correttezza della valutazione del medico fiduciario.</w:t>
      </w:r>
    </w:p>
    <w:p>
      <w:r>
        <w:rPr>
          <w:b/>
        </w:rPr>
        <w:t>E. 9</w:t>
      </w:r>
    </w:p>
    <w:p>
      <w:r>
        <w:t>novembre 2011, consid. 3.2.). 2.12.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Nella presente fattispecie, l’assicuratore solo con la risposta di causa ha sollevato per la prima volta la questione della non conformità della diagnosi posta con la limitatio del farmaco in esame ed ha fondato la richiesta di reiezione del ricorso esclusivamente sul parere del proprio medico fiduciario. In casi del genere, per costante prassi, il TCA, anziché ordinare esso stesso una perizia giudiziaria, rinvia gli atti all’amministrazione affinché disponga una perizia esterna ai sensi dell’art. 44 LPGA (cfr., in questo senso, STF 8C_757/2014 del 16 gennaio 2015 consid. 3.2.; STCA 35.2020.13 del 22 settembre 2020, STCA 35.2019.139 del 16 settembre 2020, STCA 35.2019.136 del 7 settembre 2020, STCA 35.2019.134 del 3 settembre 2020;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in precedenza, si giustifica l’annullamento della decisione su opposizione impugnata. L’istituto assicuratore resistente, a cui gli atti vengono retrocessi, dovrà disporre un approfondimento peritale esterno (art. 44 LPGA) volto a definire la diagnosi esatta della patologia di cui è affetta la ricorrente e dunque se la malattia rientra nella limitatio del farmaco Privigen ® , l’efficacia del farmaco nel preciso caso di specie e l’economicità. L’assicuratore se date le condizioni della limitatio di cui al compendium per il farmaco Privigen, se assunto conformemente all’etichetta, dovrà di principio rimborsarne i costi, riservato l’esame dell’efficacia e dell’economicità. Se invece la ricorrente non è affetta da una patologia figurante nella limitatio e dunque se esso viene assunto al di fuori dell’etichetta, la perizia dovrà pure stabilire, conformemente all’art. 71a cpv. 1 lett. b OAMal, se l’impiego del medicamento promette un elevato beneficio terapeutico contro una malattia che può avere esito letale per l’assicurata o può provocare danni gravi e cronici alla sua salute e, a causa della mancanza di alternative terapeutiche, un altro trattamento omologato efficace non è disponibile (cfr. DTF 143 V 130 e STCA 36.2018.6 del 14 settembre 2018). L’assicuratore, vista la particolarità del caso e ritenuto che il medico fiduciario, dr. med. __________, è attivo presso l’Università di __________ (cfr. doc. 18), dovrà attribuire l’incarico peritale ad uno specialista immunologo in ambito universitario. Esperiti questi accertamenti medici, l’amministrazione si pronuncerà nuovamente sul diritto alle prestazioni dell’assicurata. In queste condizioni la richiesta di assunzione di ulteriori prove, e segnatamente la domanda della ricorrente di sentire il proprio medico curante, dr. med. __________, rispettivamente di allestire una perizia giudiziaria e la richiesta dell’assicuratore di sentire il medico fiduciario, dr. med. __________, divengono prive di oggetto. 2.13.   Visto l’esito del ricorso (il rinvio con esito aperto equivale a piena vittoria, cfr., da ultimo, la STF 8C_222/2020 del 1° settembre 2020, consid. 9.2, con rinvio a DTF 137 V 210 consid. 7.1 pag. 271 con riferimento), l’assicuratore verserà alla ricorrente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