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36.2019.39 vom 24. Juni 2019</w:t>
      </w:r>
    </w:p>
    <w:p>
      <w:r>
        <w:t>TI Tribunale d'appello, 2019-06-24, IT</w:t>
      </w:r>
    </w:p>
    <w:p>
      <w:r>
        <w:rPr>
          <w:b/>
        </w:rPr>
        <w:t xml:space="preserve">Quelle: </w:t>
      </w:r>
      <w:r>
        <w:t>https://mcp.opencaselaw.ch/entscheid/ti_gerichte_36.2019.39</w:t>
      </w:r>
    </w:p>
    <w:p>
      <w:r>
        <w:t>FR: TI_GERICHTE 36.2019.39 du 24 juin 2019</w:t>
      </w:r>
    </w:p>
    <w:p>
      <w:r>
        <w:t>IT: TI_GERICHTE 36.2019.39 del 24 giugno 2019</w:t>
      </w:r>
    </w:p>
    <w:p>
      <w:pPr>
        <w:pStyle w:val="Heading2"/>
      </w:pPr>
      <w:r>
        <w:t>Regeste</w:t>
      </w:r>
    </w:p>
    <w:p>
      <w:r>
        <w:t>Sospensione del pagamento delle indennità giornaliere per mancata collaborazione. In concreto l'assicuratore non ha seguito correttamente l'art. 43 cpv. 3 LPGA. Manca in particolare una diffida. Atti rinviati all'assicuratore per corretta applicazione 43 cpv. 3 LPGA</w:t>
      </w:r>
    </w:p>
    <w:p>
      <w:pPr>
        <w:pStyle w:val="Heading2"/>
      </w:pPr>
      <w:r>
        <w:t>Erwägungen</w:t>
      </w:r>
    </w:p>
    <w:p>
      <w:r>
        <w:rPr>
          <w:b/>
        </w:rPr>
        <w:t>E. 29</w:t>
      </w:r>
    </w:p>
    <w:p>
      <w:r>
        <w:t>Mai 2015 zu befristen. Kommt der Beschwerdegegner indessen später auf seine verweigernde Haltung zurück, indem er seine Bereitschaft erklärt, sich einer zumutbaren psychiatrischen Abklärung zu unterziehen, wird die Verwaltung die entsprechende Erklärung als Neuanmeldung entgegenzunehmen und ab jenem Zeitpunkt pro futuro zu prüfen haben, ob die Voraussetzungen für den Anspruch auf eine Invalidenrente wiederum erfüllt sind.).</w:t>
      </w:r>
    </w:p>
    <w:p>
      <w:r>
        <w:t>6.2.Die Versicherte äusserte sich gegenüber beruflichen Massnahmen zuerst positiv und später unschlüssig: Am 1. April 2016 erklärte sie ihre Bereitschaft zur Teilnahme an entsprechenden Vorkehren (vgl. E. 4.1 vorne). Auf die telefonische Nachfrage der IV-Stelle vom 15. Februar 2017 hin konnte die Beschwerdegegnerin ihren Willen zur Mitwirkung nicht spontan bestätigen, weil sie - was angesichts des gegen die Renteneinstellung eingeleiteten, damals hängigen Beschwerdeverfahrens verständlich scheint - zuerst Rücksprache mit ihrem Rechtsvertreter nehmen wollte. Da der Kontakt zwischen der IV-Stelle und dem Rechtsvertreter (aus den bereits erwähnten Gründen) dann aber nicht zustande kam, blieb die Frage nach dem Fortbestand der Eingliederungsbereitschaft der Versicherten ungeklärt (vgl. E. 4.2 vorne). Daran änderte sich bis zum Vorbescheid nichts. Dennoch ging die IV-Stelle bei dessen Erlass am 10. Mai 2017 von fehlender subjektiver Eingliederungsfähigkeit aus und brach die Massnahmen ab, woran sie, nachdem die Versicherte keine Einwände erhoben hatte, mit Verfügung vom 23. Juni 2017 festhielt.</w:t>
      </w:r>
    </w:p>
    <w:p>
      <w:r>
        <w:t>Anders als die IV-Stelle anzunehmen scheint, ergaben sich damit aus dem Verhalten der Beschwerdegegnerin im Verlaufe des Verwaltungsverfahrens, wie es sich in der Zeit vom 1. April 2016 (Erstgespräch) bis zum 10. Mai 2017 (Erlass des Vorbescheids) abspielte, keine Indizien, die auf eine fehlende Eingliederungsbereitschaft hingedeutet hätten. Damit beruhte der vom Gegenteil ausgehende Vorbescheid auf einem unzutreffenden Sachverhalt. Was die Zeit nach dem Vorbescheid anbelangt, ist der Beschwerdeführerin zwar insoweit beizupflichten, als zu erwarten gewesen wäre, dass die Versicherte bei gegebenem Eingliederungswillen gegen den ihr die subjektive Eingliederungsfähigkeit absprechenden und damit einen weiteren Anspruch auf berufliche Massnahmen verneinenden Vorbescheid opponiert hätte. Da die versicherte Person indessen zur Erhebung von Einwänden gegen den Vorbescheid lediglich berechtigt und nicht verpflichtet ist (MEYER/REICHMUTH, Bundesgesetz über die Invalidenversicherung, 3. Aufl. 2014, Rz. 2 zu Art. 57a IVG), reicht der Verzicht allein, sich im Vorbescheidverfahren zu äussern, nicht aus, um mit dem Beweisgrad der überwiegenden Wahrscheinlichkeit auf fehlende Eingliederungsbereitschaft zu schliessen. Die vorinstanzliche Beweiswürdigung, welche diesen Umständen Rechnung trägt, ist nicht willkürlich.</w:t>
      </w:r>
    </w:p>
    <w:p>
      <w:r>
        <w:t>6.3.Nicht beigepflichtet werden kann der Verwaltung auch, soweit sie sich sinngemäss auf den Standpunkt stellt, gegen die Notwendigkeit eines Mahn- und Bedenkzeitverfahrens spreche auch, dass der Versicherten mit dem Vorbescheid eine Bedenkzeit von 30 Tagen eingeräumt worden sei. Es ist ihr entgegenzuhalten, dass das Mahn- und Bedenkzeitverfahren (Art. 21 Abs. 4 ATSG) anderen Zwecken dient als das Vorbescheidverfahren (Art. 57a IVG), weshalb es diesem auch zeitlich vorgelagert ist (vgl. auch Urteil 8C_663/2017 vom 12. Dezember 2017 E. 5.1). Das Gesetz bietet keine Handhabe, auf das Mahn- und Bedenkzeitverfahren zu verzichten mit der Begründung, die Versicherte erhalte mit dem zu erlassenden Vorbescheid bereits die Gelegenheit, ihr Verhalten in der Einwandfrist zu überdenken (vgl. zum ebenfalls ausgeschlossenen Verzicht auf einen Vorbescheid wegen eines durchgeführten Mahn- und Bedenkzeitverfahrens: URS MÜLLER, Das Verwaltungsverfahren in der Invalidenversicherung, 2010, S. 413 Rz. 2102).</w:t>
      </w:r>
    </w:p>
    <w:p>
      <w:r>
        <w:rPr>
          <w:b/>
        </w:rPr>
        <w:t>E. 31</w:t>
      </w:r>
    </w:p>
    <w:p>
      <w:r>
        <w:t>gennaio 2019 e nulla è dato a sapere circa l’evoluzione della patologia), la causa deve essere rinviata all’assicuratore affinché, previa acquisizione di eventuale ulteriore documentazione medica, convochi nuovamente l’insorgente per una visita fiduciaria, che vista la natura della patologia dovrà necessariamente comprendere una valutazione specialistica in ambito psichiatrico e metta in atto correttamente la procedura prevista dall’art. 43 cpv. 3 LPGA (ingiunzione, diffida scritta con avvertimento delle conseguenze giuridiche con termine di riflessione e, semmai, valutazione sulla base degli atti). Visto l’esito del ricorso non è necessario esaminare le censure del ricorrente circa la presunta violazione del diritto di essere sentito e del divieto di formalismo eccessivo. All’insorgente, rappresentato da un avvocato e vincente in causa, vanno assegnate le ripetibili (art. 61 LPGA).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