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36.2019.116 vom 8. Mai 2020</w:t>
      </w:r>
    </w:p>
    <w:p>
      <w:r>
        <w:t>TI Tribunale d'appello, 2020-05-08, IT</w:t>
      </w:r>
    </w:p>
    <w:p>
      <w:r>
        <w:rPr>
          <w:b/>
        </w:rPr>
        <w:t xml:space="preserve">Quelle: </w:t>
      </w:r>
      <w:r>
        <w:t>https://mcp.opencaselaw.ch/entscheid/ti_gerichte_36.2019.116</w:t>
      </w:r>
    </w:p>
    <w:p>
      <w:r>
        <w:t>FR: TI_GERICHTE 36.2019.116 du 8 mai 2020</w:t>
      </w:r>
    </w:p>
    <w:p>
      <w:r>
        <w:t>IT: TI_GERICHTE 36.2019.116 del 8 maggio 2020</w:t>
      </w:r>
    </w:p>
    <w:p>
      <w:pPr>
        <w:pStyle w:val="Heading2"/>
      </w:pPr>
      <w:r>
        <w:t>Erwägungen</w:t>
      </w:r>
    </w:p>
    <w:p>
      <w:r>
        <w:rPr>
          <w:b/>
        </w:rPr>
        <w:t>E. 1</w:t>
      </w:r>
    </w:p>
    <w:p>
      <w:r>
        <w:t>rileva che il trattamento previsto dal Dr. __________ (preventivo di CHF 1'446.25) corrisponde a una cura efficace, appropriata ed economica, che consente di ripristinare la funzione masticatoria dopo levento infortunistico del 15 novembre 2018 (doc. 19).</w:t>
      </w:r>
    </w:p>
    <w:p>
      <w:r>
        <w:t>Lassicuratore ha invece rifiutato di assumersi i costi di un impianto, aggiungendo che data la situazione parodontale (grave riassorbimento interdentale tra il dente 11 e il dente 21) e lo spazio limitato disponibile tra il dente 11 e il dente 12, linserimento di un impianto si preannuncia sin dallinizio un lavoro delicato, e persino controindicato, col rischio che insorgano complicazioni di natura funzionale (perdita dellimpianto 11 e/o del dente 12) o di natura estetica (grave riassorbimento osseo verticale a seguito dellestrazione del dente 11 e dellinserimento di un impianto dentale nel dente 11) (doc. 19).</w:t>
      </w:r>
    </w:p>
    <w:p>
      <w:r>
        <w:t>Da parte sua la ricorrente sostiene che la posa di un impianto sia lunica soluzione possibile applicabile al caso di specie.</w:t>
      </w:r>
    </w:p>
    <w:p>
      <w:r>
        <w:t>Unitamente alla risposta del 17 febbraio 2020 ai quesiti posti dal TCA, il dr. med. __________ ha prodotto due preventivi datati 17 febbraio 2020 (doc. XIV/1+2).</w:t>
      </w:r>
    </w:p>
    <w:p>
      <w:r>
        <w:t>Con il primo ha esposto le cure effettuate subito dopo linfortunio (segnatamente estrazione del lembo, cura della ferita e protesi provvisoria). Limporto di fr. 1'409.05 differisce rispetto a quello indicato nel preventivo del 18 gennaio 2019 di fr. 1'446.25, poiché non figura più lammontare di fr. 37.20 relativo alla posta controllo della ferita.</w:t>
      </w:r>
    </w:p>
    <w:p>
      <w:r>
        <w:t>Il secondo preventivo di fr. 5'204.70 è inerente il lavoro necessario per la posa dellimpianto e della corona al dente 11.</w:t>
      </w:r>
    </w:p>
    <w:p>
      <w:r>
        <w:t>2.9.   Va qui evidenziato che i presupposti dell'assunzione dei costi delle prestazioni definite dagli artt. 25 segg. sono specificati all'art. 32 LAMal.</w:t>
      </w:r>
    </w:p>
    <w:p>
      <w:r>
        <w:t>Per l'art. 32 cpv. 1 LAMal, le prestazioni di cui agli artt. 25-31 LAMal devono essere efficaci, appropriate ed economiche. L'efficacia deve essere provata secondo metodi scientifici.</w:t>
      </w:r>
    </w:p>
    <w:p>
      <w:r>
        <w:t>L'efficacia, l'appropriatezza e l'economicità di prestazioni eseguite da medici svizzeri sono presunte (art. 33 cpv. 1 LAMal; RAMI 2000 KV 132 pag. 283 seg. consid. 3; STFA K 39/01 del 14 ottobre 2002, consid. 1.3).</w:t>
      </w:r>
    </w:p>
    <w:p>
      <w:r>
        <w:t>L'art. 56 cpv. 1 LAMal dispone che il fornitore di prestazioni deve limitare le prestazioni a quanto esige l'interesse dell'assicurato e lo scopo della cura.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cfr. pure la sentenza K 35/04 del 29 giugno 2004, consid. 3).</w:t>
      </w:r>
    </w:p>
    <w:p>
      <w:r>
        <w:t>Per costante giurisprudenza sviluppatasi in ambito LAMI e ripresa nella LAMal (SVR 1999 KV Nr. 6 p. 12; RAMI 1998 n. KV 988 pag. 4 consid. 3a;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w:t>
      </w:r>
    </w:p>
    <w:p>
      <w:r>
        <w:t>L'assicurato non ha alcun diritto al rimborso di un trattamento non economico (DTF 125 V 98 consid. 2b).</w:t>
      </w:r>
    </w:p>
    <w:p>
      <w:r>
        <w:t>Quindi se due misure risultano efficaci e appropriate si deve procedere a ponderare i costi e i benefici del trattamento (RAMI 1998 K 988 p. 4 consid. 3b e c).</w:t>
      </w:r>
    </w:p>
    <w:p>
      <w:r>
        <w:t>In tale ambito la LAMal attribuisce un ruolo importante al medico fiduciario (art. 57 LAMal)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K 87/00 del 21 marzo 2001 consid. 2d).</w:t>
      </w:r>
    </w:p>
    <w:p>
      <w:r>
        <w:t>In presenza di diversi metodi o tecniche operative che lasciano oggettivamenteprevedere il buon esito del trattamento della malattia (in altre parole sono da considerare efficaci ai sensi dell'art. 32 cpv. 1 LAMal [Eugster, Krankenversicherung in:Schweizerisches Bundesverwaltungsrecht [SVBR], Soziale Sicherheit,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(Eugster, op. cit., NN. 293-296, pagg.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aMaurer, Das neue Krankenversicherungsrecht, Basilea e Francoforte sul Meno 1996, pag. 52).</w:t>
      </w:r>
    </w:p>
    <w:p>
      <w:r>
        <w:t>2.10.   Una misura èefficacequando è dimostrata secondo metodi scientifici e permette oggettivamente di ottenere il risultato diagnostico o terapeutico ricercato (STF 9C_685/2012 del 6 marzo 2013, consid.4.4.1, pubblicata in DTF 139 V 135; DTF 128 V 159 consid. 5c/aa pag. 165; cfr. anche sentenza K 151/99 del 7 luglio 2000 consid. 2b, pubblicata in RAMI 2000 n° KV 132 pag. 279).</w:t>
      </w:r>
    </w:p>
    <w:p>
      <w:r>
        <w:t>L'adeguatezzadella misura si esamina sulla base di criteri medici. L'esame consiste nel valutare, fondandosi su un'analisi prospettiva della situazione, la somma degli effetti positivi della misura ritenuta, comparandola con gli effetti positivi delle misure alternative o in rapporto alla soluzione consistente a rinunciare a qualsiasi misura; è appropriata la misura che presenta, tenuto conto dei rischi esistenti, il miglior bilancio diagnostico o terapeutico (DTF 127 V 138 consid. 5;STF 9C_685/2012 del 6 marzo 2013, consid.4.4.2, pubblicata in DTF 139 V 135, con riferimenti). La risposta alla domanda si intreccia generalmente con quella dell'indicazione medica; quando l'indicazione medica è chiaramente stabilita, occorre ammettere che la condizione del carattere appropriato della misura è realizzato (DTF 125 V 95 consid. 4a;STF 9C_685/2012 del 6 marzo 2013, consid.4.4.2, pubblicata in DTF 139 V 135, con riferimenti).</w:t>
      </w:r>
    </w:p>
    <w:p>
      <w:r>
        <w:t>Il criterio dell'economicitàinterviene quando nel caso di specie esistono delle alternative diagnostiche o terapeutiche appropriate. In tal caso occorre procedere ad una ponderazione degli interessi tra i costi ed i benefici di ogni misura. Se una delle misure permette di raggiungere lo scopo essendo sensibilmente meno cara rispetto all'altra, l'assicurato non ha il diritto al rimborso dei costi della misura più onerosa (DTF 124 V 196 consid. 4;STF 9C_685/2012 del 6 marzo 2013, consid.4.4.3, pubblicata in DTF 139 V 135, con riferimenti). Il criterio dell'economicità non concerne unicamente il tipo e l'estensione delle misure diagnostiche o terapeutiche, ma riguarda anche la forma del trattamento, segnatamente la questione di sapere se una misura deve essere effettuata in ambito ambulatoriale o ospedaliero (DTF 126 V 334 consid. 2b;STF 9C_685/2012 del 6 marzo 2013, consid.4.4.3, pubblicata in DTF 139 V 135, con riferimenti).</w:t>
      </w:r>
    </w:p>
    <w:p>
      <w:r>
        <w:t>2.11.Come ricordato nella STCA 36.2015.5 del 1° aprile 2015, e ripreso nelle successive STCA 36.2016.14 del 17 maggio 2016 e STCA 36.2019.35 del 4 dicembre 2019, la sentenza9C_576/2013 del 15 aprile 2014 emanata in ambito di prestazioni complementari all'AVS/AIprevede la possibilità di rifarsi alle Raccomandazioni dell'Associazione dei medici dentisti cantonali della Svizzera (VKZS-Empfehlungen) per interpretare le nozioni di una cura dentaria semplice, economica ed adeguata (STCA 33.2014.31 del 16 gennaio 2015 consid. 10).</w:t>
      </w:r>
    </w:p>
    <w:p>
      <w:r>
        <w:t>In quell'occasione, l'Alta Corte ha respinto la censura ricorsuale secondo cuidette Raccomandazioni, espressamente indicate all'art. 8 dell'Ordinanza cantonale sul rimborso delle spese di malattia e di invalidità nelle prestazioni complementari emessa dal Consiglio di Stato del Cantone di Basilea Città [KBV; SG 832.720], non sarebbero incluse nella delega dell'art.14 cpv.</w:t>
      </w:r>
    </w:p>
    <w:p>
      <w:r>
        <w:rPr>
          <w:b/>
        </w:rPr>
        <w:t>E. 2</w:t>
      </w:r>
    </w:p>
    <w:p>
      <w:r>
        <w:t>Quali cure devono ancora essere prestate e per quale motivo sono necessarie? In particolare perché occorre effettuare una radiografia tridimensionale e procedere con la posa di un impianto?</w:t>
      </w:r>
    </w:p>
    <w:p>
      <w:r>
        <w:rPr>
          <w:b/>
        </w:rPr>
        <w:t>E. 3</w:t>
      </w:r>
    </w:p>
    <w:p>
      <w:r>
        <w:t>È già stata emessa una fattura definitiva per le cure mediche riconosciute dallassicuratore malattie (preventivo del 29 dicembre 2018)? In caso di risposta positiva le chiediamo di trasmettercene una copia. In caso di risposta negativa le chiediamo di indicarcene le ragioni.</w:t>
      </w:r>
    </w:p>
    <w:p>
      <w:r>
        <w:rPr>
          <w:b/>
        </w:rPr>
        <w:t>E. 4</w:t>
      </w:r>
    </w:p>
    <w:p>
      <w:r>
        <w:t>A quanto ammonta il preventivo per lapplicazione della protesi fissa e per la radiografia tridimensionale? Le chiediamo di trasmettercene una copia.</w:t>
      </w:r>
    </w:p>
    <w:p>
      <w:r>
        <w:rPr>
          <w:b/>
        </w:rPr>
        <w:t>E. 5</w:t>
      </w:r>
    </w:p>
    <w:p>
      <w:r>
        <w:t>La soluzione approvata dallassicuratore, nel preciso caso di specie, è appropriata, efficace ed economica? In caso di risposta negativa, voglia motivare la sua risposta.</w:t>
      </w:r>
    </w:p>
    <w:p>
      <w:r>
        <w:rPr>
          <w:b/>
        </w:rPr>
        <w:t>E. 6</w:t>
      </w:r>
    </w:p>
    <w:p>
      <w:r>
        <w:t>Il medico fiduciario afferma che la posa di un impianto del dente 11 non è adeguata e/o appropriata a causa della situazione paradontale (grave riassorbimento interdentale tra il dente 11 e il dente 21) e dello spazio limitato disponibile tra il dente 11 e il dente 12. Egli afferma che linserimento di un impianto, nel caso di specie, è un lavoro delicato e controindicato col rischio che sorgano complicazioni di natura funzionale (perdita dellimpianto 11 e/o del dente 12) o di natura estetica (grave riassorbimento osseo verticale a seguito dellestrazione del dente 11 e dellinserimento di un impianto dentale nel dente 11). Con scritto del 18 gennaio 2020 Lei ha già in parte preso posizione su queste affermazioni. Le chiediamo di voler precisare per quale motivo la posa di un impianto rispetto alla soluzione della protesi amovibile fissa è, a suo parere, maggiormente efficace, appropriata ed economica.</w:t>
      </w:r>
    </w:p>
    <w:p>
      <w:r>
        <w:rPr>
          <w:b/>
        </w:rPr>
        <w:t>E. 7</w:t>
      </w:r>
    </w:p>
    <w:p>
      <w:r>
        <w:t>Vi sono altre cure, oltre a quelle qui in discussione, maggiormente economiche rispetto alla posa di un impianto al dente 11, ma altrettanto efficaci ed appropriate per la cura di RI 1? (doc. XI)</w:t>
      </w:r>
    </w:p>
    <w:p>
      <w:r>
        <w:t>Il 17 febbraio 2020 il dr. __________, medico dentista, ha affermato:</w:t>
      </w:r>
    </w:p>
    <w:p>
      <w:r>
        <w:t>La ricorrente ha inoltre prodotto un referto del 12 febbraio 2020 del dr. med. __________, FMH psichiatria e psicoterapia, il quale ha affermato che la persona summenzionata è sotto trattamento specialistico dal 21.07.2009. Nel corso del mese di giugno 2019 si è assistito ad un peggioramento del suo stato psicopatologico. Questo stato in parte è reattivo al contenzioso che la stessa mantiene con la sua cassa malati (doc. XIII/C2).</w:t>
      </w:r>
    </w:p>
    <w:p>
      <w:r>
        <w:t>2.13.   Alla luce delle considerazioni espresse sia dal medico dentista curante della ricorrente, sia dal medico dentista fiduciario della Cassa malati, tenuto conto dellart. 32 LAMal secondo cui soltanto le spese per trattamenti dentari efficaci, economici e appropriati sono rimborsate, come pure della consolidata giurisprudenza in materia ribadita ancora recentemente (cfr. la sentenza 9C_637/2018 del 28 marzo 2019), d'avviso di questo Tribunale si deve concludere che le cure dentarie approntate dal dr. __________, medico dentista, indipendentemente dalla questione dellefficacia e dellappropriatezza,nonadempiono al principio dell'economicità della cura previsto dall'art. 32 LAMal.</w:t>
      </w:r>
    </w:p>
    <w:p>
      <w:r>
        <w:t>Lopzione della protesi parziale amovibile, riconosciuta in quanto efficace, appropriata ed economica dallassicuratore (ed anche dal dentista curante [doc. XIV, risposta 5: La soluzione è appropriata, efficace ed economica ma è pur sempre provvisoria]) va confermata,non presentando, dal profilo medico, differenze di rilievo con la protesi fissa.</w:t>
      </w:r>
    </w:p>
    <w:p>
      <w:r>
        <w:t>Certo, per il medico dentista curante la motivazione alla base della sostituzione del dente estratto con l'inserimento di un impianto risiede nel fatto che è definitiva, fissa, duratura e con una prognosiestremamentefavorevole. Ciò di principio vale tuttavia per tutti gli impianti.</w:t>
      </w:r>
    </w:p>
    <w:p>
      <w:r>
        <w:t>Nel caso concreto,rispetto alla realizzazione di una protesi amovibile,il confezionamento di un impianto nonpresenta comunque vantaggi di natura diagnostica e/o terapeutica - segnatamente perché comporta rischi minori, una prognosimaggiormentefavorevoleper quanto concerne eventuali effetti collaterali e sequele tardive-, tali da giustificare l'assunzione delle spese per la cura più cara.Non vi è alcun motivo particolare, dettato dall'eccezionalità della situazione, per concludere che l'inserimento di un impianto, seppure meno economico, possa avere la meglio sul confezionamento di una protesi mobile.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