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36.2018.76 vom 18. März 2019</w:t>
      </w:r>
    </w:p>
    <w:p>
      <w:r>
        <w:t>TI Tribunale d'appello, 2019-03-18, IT</w:t>
      </w:r>
    </w:p>
    <w:p>
      <w:r>
        <w:rPr>
          <w:b/>
        </w:rPr>
        <w:t xml:space="preserve">Quelle: </w:t>
      </w:r>
      <w:r>
        <w:t>https://mcp.opencaselaw.ch/entscheid/ti_gerichte_36.2018.76</w:t>
      </w:r>
    </w:p>
    <w:p>
      <w:r>
        <w:t>FR: TI_GERICHTE 36.2018.76 du 18 mars 2019</w:t>
      </w:r>
    </w:p>
    <w:p>
      <w:r>
        <w:t>IT: TI_GERICHTE 36.2018.76 del 18 marzo 2019</w:t>
      </w:r>
    </w:p>
    <w:p>
      <w:pPr>
        <w:pStyle w:val="Heading2"/>
      </w:pPr>
      <w:r>
        <w:t>Regeste</w:t>
      </w:r>
    </w:p>
    <w:p>
      <w:r>
        <w:t>Domanda di RIPAM 2018. Composizione dell'UR. Determinazione del diritto al di fuori dei dati fiscali del periodo di riferimento. Superamento dei limiti di reddito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 Ranzanici, op. cit., n. 4.3.3 pag. 328 seg.). Nel caso in esame il tema sottoposto all’esame e al giudizio di questa Corte (composizione dell’UR, determinazione del reddito al di fuori della tassazione, accertamento del diritto alla riduzione del premio) non è nuovo ed è stato oggetto di esame a più riprese da parte di questo Tribunale cantonale delle Assicurazioni, basti qui il generico rinvio alle STCA reperibili sul sito: sentenze.ti.ch (per un caso emblematico si veda la STCA 36.2018.18 del 24 maggio 2018 in re H.). La fattispecie non necessita di un’istruttoria processuale complessa per essere evasa, l’acquisizione di documentazione e l’indizione di una udienza non costituiscono complessità particolari. Il giudizio può essere emanato monocraticamente. 2.   A norma dell’art. 76 cpv. 1 e 2 della Legge cantonale di applicazione della LAMal (LCAMal qui di seguito), contro le decisioni dell’amministrazione emanate in applicazione della medesima legge è possibile il reclamo all’organo che ha pronunciato il prov-vedimento, ciò nel termine di 30 giorni dalla notificazione. Nel medesimo termine sono impugnabili al Tribunale cantonale delle assicurazioni le decisioni emanate su reclamo da parte dell’auto-rità amministrativa preposta. Il Tribunale cantonale delle assicurazioni è quindi competente a esaminare i ricorsi in materia. In concreto il ricorso è ricevibile siccome tempestivo e motivato in maniera comunque sufficiente. nel merito 3.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previsto un nuovo sistema di attribuzione dei sussidi, conformemente al dettato degli art. 65 e seg. LAMal, al fine di rendere più efficace l’aiuto sociale, la precedente normativa aveva mostrato talune lacune e, soprattutto, per ottemperare gli obiettivi di politica sociale cantonale valuti con l’adozione della Legge sull’armonizzazione delle prestazioni sociali del 5 giugno 2000 (in questo senso il Messaggio 15 settembre 2009 del Consiglio di Stato accompagnante il disegno di legge di modifica della LCAM, a pagina 7, ed il relativo Rapporto della Commissione della gestione e delle finanze del l’8 giugno 2010 a pagina 1, per maggiori dettagli e specifiche si veda: Ivano Ranzanici, La riduzione dei premi dell’assicurazione malattia; tesi pubblicata nella collana AISUF [n. 364], edita da Schulthess Verlag Zurigo, 2016, in particolare il capitolo 14, p. 357 e ss.).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tesi citata, capitoli 6.1.2.4. [p. 156] e 8 [p. 195 e ss.], in particolare capitolo 8.4.5. [p. 207 e ss.]) ancorché questa libertà non sia assoluta come ricorda la recente giurisprudenza federale (STF 8C_228/2018 del 22 gennaio 2019 destinata alla pubblicazione, in un caso relativo al Cantone di Lucerna) ed è vincolato in particolare da quanto impone l’art. 65 cpv. 1 bis LAMal secondo cui, per i redditi medi e bassi, i Cantoni riducono di almeno il 50%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i presupposti dati,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4.   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stabilisce annualmente il premio medio di rifermento per ogni singola categoria di assicurati prevista dalla LAMal. Alla base del diritto alla riduzione del premio è stato posto il reddito disponibile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è fissata sulla base della tassazione indicata dal Consiglio di Stato nel suo annuale decreto, con la precisazione però che va reintegrata la sostanza donata o ceduta in usufrutto che deve essere computata nel calcolo (art. 30 a LCAMal). Per questa ultima ipotesi occorre riferirsi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siano considerati i valori di sostanza antecedenti la rinuncia. I dati registrati nella tassazione fiscale prima della donazione o della cessione in usufrutto sono riportati anche sui periodi fiscali successivi e il rispettivo ammontare è ridotto annualmente di CHF 10'000.00. L’art. 31 LCAMal definisce il reddito disponibile. Lo stesso è determinato dalla somma di tutti i redditi dell’unità di riferimento secondo la LT, cui va aggiunto un quindicesimo della sostanza netta ritenuta nella tassazione dalla quale, contrariamente al diritto previgente, non è più dedotta alcuna franchigia. Dall’importo così calcolato sono ammesse specifiche deduzioni. 5.   A partire dalla RIPAM 2015 il legislatore ha introdotto il nuovo concetto di reddito disponibile massimo ( Ranzanici, tesi citata, capitolo 15.2. p. 474 e ss., in particolare 15.2.2. p. 476). Per tale norma la riduzione dei premi è accordata sino al raggiungimento di un reddito disponibile massimo che, per le UR senza figli, è definito con la formula di calcolo (ermetica) seguente: RDM = costante del 3,4 x 50% del limite di fabbisogno Laps senza computo della pigione Se dell'UR fanno parte dei figli la formula diviene ancor più complessa per cui: RDM = [costante del 3,9 + 1 – (n° dei figli) / 10] x 50 % del limite di fabbisogno Laps senza computo della pigione. Le due formule adottate dal legislatore appaiono complesse. Esse fanno riferimento ai valori ritenuti all’art. 10 Laps (considerato per il suo 50%), e ritengono due valori costanti del 3.4 e del 3,9. Nel corso dei lavori preparatori ( Messaggio 6982 del 10 settembre 2014 relativo alla modifica della Legge cantonale di applicazione della LAMal del 26 giugno 1997), l’esecutivo cantonale ha voluto inserire nella legge un “ limite esplicito … (che) non dipende dai PMR … L’introduzione di questo nuovo parametro consente …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 per queste situazioni reddituali” (Messaggio citato, p. 13). Posto il principio di fissare un reddito disponibile massimo il Messaggio ha indicato la volontà di sostenere maggiormente le persone con figli a carico: “ Dopo vari approfondimenti d’impatto sulle differenti tipologie di UR, si ritiene di dover considerare maggiormente le UR con figli a carico, perciò le famiglie monoparentali e biparentali, piuttosto che le persone sole o le coppie senza figli” (Messaggio citato, p. 13). 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ritenuto comunque che l’esecutivo può cambiare tali costanti nel suo annuale decreto di fissazione dei parametri l’attribuzione della RIPAM. Sempre nel suo messaggio (p. 13) il Consiglio di Stato ha considerato che la riduzione dei premi: “ è una prestazione coordinata ai sensi della Laps …, il RDM è calcolato come un multiplo del 50% del limite di RD Laps; per le UR con figli il multiplo aumenta in funzione del numero di figli” . Per stabilire la costante l’esecutivo ha presentato nel Messaggio (p. 14 e 15) specifiche tabelle di verifica dell’impatto del calcolo ed ha considerato come il “ valore delle costanti … influenza l’importo del RDM: tanto minore è il valore della costante, (quanto) minore è … l’importo del RDM e, di conseguenza, diminuisce  anche il numero dei beneficiari con redditi alti” . La Tabella 2 (fonte IAS) illustra i limiti di reddito massimo disponibile per tipologia di unità di riferimento secondo la modifica di legge proposta (e poi accettata il</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w:t>
      </w:r>
    </w:p>
    <w:p>
      <w:r>
        <w:rPr>
          <w:b/>
        </w:rPr>
        <w:t>E. 5</w:t>
      </w:r>
    </w:p>
    <w:p>
      <w:r>
        <w:t>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caso di diminuzione del reddito conseguito comunicato all’am-ministrazione la Cassa procede alla determinazione del diritto alla riduzione del premio al di fuori dei parametri fiscali, accertando il reddito da ultimo conseguito dai membri che compongono l’unità di riferimento. 7.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 ancora per l’invalidità (per una critica si veda Ranzanici, tesi citata, p. 423 nota 803 e p. 437 e ss. note 833 e ss.), rispettivamente spese di gestione e manutenzione immobili o le deduzioni ammesse fiscalmente per figli a carico od ancora per doppia economia non possono essere considerate. Secondo le nuove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tesi citata, n. 790 e 800 e 801, p. 388 e 421 e seguente, nota a piè pagina 1211). 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 8.   Va indicato che per l’anno 2018 , l’esecutivo cantonale ha così fissato le basi di calcolo nel decreto esecutivo del 15 novembre 2017: a)  periodo fiscale per l’accertamento del reddito disponibile di riferimento: classificazioni dell’imposta cantonale per l’anno 2015. b)  premio medio di riferimento per gli adulti: CHF 5’577.--, per i giovani adulti CHF 5’119.-- e per i minorenni CHF 1’284.--. La costante per il calcolo del reddito disponibile massimo è stata determinata, per l’unità di riferimento senza figli in 3.2 e per l’unità di riferimento con figli in 4.5. Il decreto rammenta poi che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 9.   Prima di verificare la correttezza del calcolo operato dalla Cassa cantonale di compensazione occorre accertare se l’amministra-zione ha, correttamente o meno, considerato la composizione dell’UR nel caso concreto. L’UR è concetto descritto nelle considerazioni che precedono, l’art. 26 cpv. 2 LCAMal prevede che di regola “ è costituita dall’unità riconosciuta ai sensi del diritto fiscale ”. Ora, nel caso in esame, l’UR ritenuta dall’amministrazione è composta dalla ricorrente che è madre di due figlie maggiorenni in prima formazione, la primogenita nata nel 1993, e quindi venticinquenne, la secondogenita nata nel 1995 e dunque ventitreenne. Occorre allora verificare se l’agire della Cassa è corretto. Per l’art. 27 LCAMal “ le persone sole maggiorenni senza figli, di età non superiore a 30 anni, il cui totale dei redditi registrati nella tassazione applicabile è inferiore al limite di fabbisogno esistenziale definito ai sensi della legge sull’armonizzazione e il coordinamento delle prestazioni sociali (Laps), del 5 giugno 2000, sono incluse nell’unità di riferimento da cui dipendono economicamente ”, a questo proposito la dottrina ( Ranzanici , tesi citata, n. 709, p. 373) precisa che la “ differenza, … , risiede nel considerare quali componenti l’UR non solo i coniugi (con gli eventuali figli sino al compimento del diciottesimo anno d’età) ma anche, laddove ve ne siano, i figli maggiorenni se a carico della famiglia siccome in formazione. L’UR è quindi un concetto più ampio rispetto alla famiglia del precedente diritto ”, lo stesso autore ricorda poi (n. 713 p. 375) che “ nell’unità anche i figli maggiorenni in formazione o comunque con introiti limitati, ma solo sino all’età di 30 anni. Con questa norma viene realizzata la volontà politica di favorire le famiglie comprendendo nelle stesse i figli maggiorenni, ed oggi sono la maggior parte, che seguono formazioni professionali che si protraggono nel tempo ”, questa integrazione tende a considerare l’onere che i figli in formazione causano alla famiglia (comportando il loro mantenimento generalmente degli oneri). La fissazione da parte del legislatore di un’età certamente avanzata (30 anni) e francamente scollegata da altri limiti d’età che fondano riconoscimento di prestazioni o deduzioni fiscali (nella nota 1170 a p. 376, alla marginale 715, Ranzanici evidenzia come: “ I 30 anni costituiscono un’età disarmonica rispetto al diritto fiscale per cui la possibilità di dedurre il mantenimento in favore di un figlio in formazione può avvenire sino al compimento dei 28 anni (art. 34 cpv. 1 lett. a LT). La LAVS prevede poi il pagamento del contributo minimo di legge per gli studenti sino al compimento dei 25 anni (art. 10 cpv. 2 lett. a LAVS), od ancora l’art. 25 cpv. 5 LAVS riconosce il diritto alla rendita per orfani ai figli ancora in formazione, il diritto alla rendita dura fino al termine della stessa, ma al più tardi fino a 25 anni compiuti ”) è attenuata da una serie di condizioni d’esclusioni rigorose, come detto da un lato l’età del giovane in formazione (i 30 anni) e il fatto che il giovane sia una persona sola (e non abbia un proprio nucleo famigliare), in terzo luogo il giovane deve dipendere in maniera effettiva economicamente dalla famiglia. Il giovane può certamente conseguire dei redditi (assurda sarebbe l’imposizione del contrario) ma gli stessi devono essere limitati devono essere inferiori al “ limite di fabbisogno esistenziale definito ” dalla Laps. Come rammenta la dottrina citata “ Questo importo, nel Messaggio di accompagnamento, è definito quale reddito limite per sopperire al fabbisogno esistenziale ai sensi della Laps e costituisce un parametro riconosciuto di minimo vitale, al di sotto del quale sussiste il diritto ad un intervento sociale di complemento ” ( Ranzanici, p. 376, alla marginale 715). 10.   Nel caso in esame, la primogenita della ricorrente, __________, svolge un’attività lavorativa quale supplente nel cantone di __________, ove sta completando i suoi studi universitari in lettere. Indubbiamente __________ sta seguendo una formazione primaria che le consentirà il reperimento di un lavoro di indubbio valore culturale e consegue redditi che – se inferiori ai limiti di reddito Laps citati – vanno ritenuti nella determinazione del RD dell’UR. Il valore soglia (inserito con effetto al 1° gennaio 2017 nella Laps all’art. 10) è di CHF 17'441, limite di reddito che in concreto non è stato superato. Dal certificato si salario dell’Ufficio del personale del Canton __________ appare che la giovane ha conseguito redditi per CHF 14'085 (nel 2018) cui si aggiungono, come indicato nello scritto (doc. X) della ricorrente, altri CHF 700.-- per l’attività svolta in seno all’Organizzazione del __________. L’importo da ritenere è inferiore al limite del fabbisogno evocato. Ne discende che __________ deve essere considerata quale membro a tutti gli effetti dell’UR da considerare in concreto, così come __________ che segue i suoi studi universitari senza svolgere collateralmente attività remunerata. 11.   In questa costellazione i redditi complessivi conseguiti dall’UR interessata assommano a CHF 12'154 per __________, CHF 90'566 per la ricorrente (doc. X/3 e X/4), a questi importi vanno aggiunti il reddito locativo (CHF 11'280) mentre la sostanza netta imponibile ritenuta nell’ultima decisione di tassazione disponibile è di CHF 220'000. Anche se non si considerasse tale sostanza l’UR in esame non potrebbe beneficiare della riduzione dei premi. Considerando infatti anche solo unicamente i redditi complessivi netti conseguiti (CHF 90'566 + 12'154 + 700 + 11’280) si ottiene l’importo di CHF 114’700. Deducendo da tale importo, che – lo si ripete – non ritiene la quota di sostanza, la somma dei premi medi di riferimento (CHF 15'815) le spese professionali per salariati (CHF 4'000) e gli interessi passivi massimi deducibili (CHF 3'000) si ottiene una somma di CHF 91'885. Come indica correttamente la decisione su reclamo l’importo massimo che consente la riduzione del premio di un’UR composta come quella in causa, è di CHF 85'950.10 determinata in base al seguente calcolo: {4.5 + [1 – (2/10)]} x 50% (32'434) = 85'950.10 Il calcolo non sarebbe diverso, e quindi maggiormente favorevole all’assicurata ricorrente, neanche se si considerassero le ipoteche accese di recente (cfr. verbale di udienza e doc. X/2 attestazioni Banca __________), gravanti l’immobile di nuova acquisizione oltre che quello di proprietà dell’assicurata (già ritenuto dall’ultima tassazione prodotta). L’azzeramento del valore della sostanza netta nulla cambierebbe poiché il calcolo eseguito contempla già la deduzione massima per interessi passivi consentita dalla legge (CHF 3'000). Il RDS conseguito, anche senza il computo della sostanza immobiliare e ritenendo le massime deduzioni possibili secondo le norme applicabili, è superato dal reddito disponibile massimo che consente il versamento di un sussidio. 12.   Alla luce di quanto precede il ricorso deve essere respinto, senza carico di tassa di giustizia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