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36.2018.75 vom 17. Dezember 2018</w:t>
      </w:r>
    </w:p>
    <w:p>
      <w:r>
        <w:t>TI Tribunale d'appello, 2018-12-17, IT</w:t>
      </w:r>
    </w:p>
    <w:p>
      <w:r>
        <w:rPr>
          <w:b/>
        </w:rPr>
        <w:t xml:space="preserve">Quelle: </w:t>
      </w:r>
      <w:r>
        <w:t>https://mcp.opencaselaw.ch/entscheid/ti_gerichte_36.2018.75</w:t>
      </w:r>
    </w:p>
    <w:p>
      <w:r>
        <w:t>FR: TI_GERICHTE 36.2018.75 du 17 décembre 2018</w:t>
      </w:r>
    </w:p>
    <w:p>
      <w:r>
        <w:t>IT: TI_GERICHTE 36.2018.75 del 17 dicembre 2018</w:t>
      </w:r>
    </w:p>
    <w:p>
      <w:pPr>
        <w:pStyle w:val="Heading2"/>
      </w:pPr>
      <w:r>
        <w:t>Regeste</w:t>
      </w:r>
    </w:p>
    <w:p>
      <w:r>
        <w:t>Negata la legittimazione attiva ad un datore di lavoro che ha chiesto di condannare l'assicuratore a versare le indennità giornaliere in caso di malattia al proprio dipendente. Esame della giurisprudenza e della dottrina</w:t>
      </w:r>
    </w:p>
    <w:p>
      <w:pPr>
        <w:pStyle w:val="Heading2"/>
      </w:pPr>
      <w:r>
        <w:t>Erwägungen</w:t>
      </w:r>
    </w:p>
    <w:p>
      <w:r>
        <w:rPr>
          <w:b/>
        </w:rPr>
        <w:t>E. 16</w:t>
      </w:r>
    </w:p>
    <w:p>
      <w:r>
        <w:t>ad art. 87 LCA). 2.4.   In concreto è pacifico che le parti hanno concluso un contratto d’assicurazione collettiva contro la perdita di guadagno in caso di malattia ai sensi della LCA (cfr. anche doc. I, pag. 1 punto I). Dalla polizza di assicurazione emerge che l’assicurazione copre la perdita di guadagno in caso malattia dei dipendenti aziendali nella misura dell’80%, per 730 giorni, dedotto un periodo di attesa di 7 giorni (doc. 1). Si tratta pertanto di un contratto d’assicurazione collettiva ai sensi del citato art. 87 LCA. In sede di udienza l’attore ha affermato che “ al suo ex collaboratore non è stato versato lo stipendio e che quindi la pretesa è destinata al lavoratore” e che “ il credito non è stato ceduto dal lavoratore al datore di lavoro ” (doc. VIII). Rammentato che solo il beneficiario (assicurato) della prestazione è titolare del diritto (consid. 2.3), solo il dipendente, in concreto __________, può chiedere la condanna dell’assicuratore, in concreto CV 1, al pagamento delle indennità giornaliere o di altre prestazioni (cfr. consid. 2.3). Ne segue che l’attore non ha alcuna legittimazione attiva nel caso di specie e che la petizione va respinta nel merito (cfr. consid. 2.1) senza che sia necessario esaminare le ulteriori contestazioni sollevate dall’assicuratore. Ciò rende superflua l’assunzione delle prove chieste dalle parti. A questo proposito va rammentato che conformemente alla costante giurisprudenza, il giudice può rinunciare ad assumere una prova se egli ha formato il proprio convincimento sulla base di altri elementi di fatto all’incarto e se egli possa ritenere senza arbitrio che la nuova prova non muterebbe il suo personale convincimento (apprezzamento anticipato delle prove; cfr. sentenza 5A_34/2013 del 9 settembre 2013, consid. 2.3 con riferimento alla sentenza 4A_228/2012 del 28 agosto 2012, consid. 2.3 non pubblicato in DTF 138 III 625; cfr. anche sentenza 4A_675/2016 del 15 dicembre 2016; sentenza 4A_391/2016 dell’8 novembre 2016, consid. 3.1-3.3; sentenza 5A_404/2014 del 29 luglio 2015, consid. 2.3.2; sentenza 4A_175/2015 del 4 maggio 2015). 2.5.   Non vanno prelevate spese processuali (art. 114 lett. e CPC). All’assicuratore, rappresentato da un avvocato esterno, vanno invece assegnate le ripetibili (cfr. art. 95 cpv. 1 lett. b CPC; cfr. anche Viktor Rüegg/Michael Rüegg , Basler Kommentar, 2017, 3a edizione, n. 18 ad art. 95 CPC, pag. 645 e n. 1 ad art. 114 CPC, pag. 701; cfr. sentenza 4A_194/2010 del 17 novembre 2010, consid. 2.2.1 non pubblicato in DTF 137 III 47 e sentenza 4A_535/2015 del 1° giugno 2016, consid. 6.4; cfr. anche sentenza 36.2017.109 del 5 marzo 2018 e sentenza 36.2017.68 del 23 aprile 2018). 2.6.   Per quanto concerne l’ammissibilità di un ricorso al TF in funzione del valore litigioso della causa, con sentenza 4A_83/2013 del 20 giugno 2013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dell’attore.</w:t>
      </w:r>
    </w:p>
    <w:p>
      <w:r>
        <w:rPr>
          <w:b/>
        </w:rPr>
        <w:t>E. 28</w:t>
      </w:r>
    </w:p>
    <w:p>
      <w:r>
        <w:t>agosto 2012, consid. 2.3 non pubblicato in DTF 138 III 625; cfr. anche sentenza 4A_675/2016 del 15 dicembre 2016; sentenza 4A_391/2016 dell8 novembre 2016, consid. 3.1-3.3; sentenza 5A_404/2014 del 29 luglio 2015, consid. 2.3.2; sentenza 4A_175/2015 del 4 maggio 2015).</w:t>
      </w:r>
    </w:p>
    <w:p>
      <w:r>
        <w:t>2.5.   Non vanno prelevate spese processuali (art. 114 lett. e CPC).</w:t>
      </w:r>
    </w:p>
    <w:p>
      <w:r>
        <w:t>Allassicuratore, rappresentato da un avvocato esterno, vanno invece assegnate le ripetibili (cfr. art. 95 cpv. 1 lett. b CPC; cfr. ancheViktor Rüegg/Michael Rüegg, Basler Kommentar, 2017, 3a edizione, n. 18 ad art. 95 CPC, pag. 645 e n. 1 ad art. 114 CPC, pag. 701; cfr. sentenza 4A_194/2010 del 17 novembre 2010, consid. 2.2.1 non pubblicato in DTF 137 III 47 e sentenza 4A_535/2015 del 1° giugno 2016, consid. 6.4; cfr. anche sentenza 36.2017.109 del 5 marzo 2018 e sentenza 36.2017.68 del 23 aprile 2018).</w:t>
      </w:r>
    </w:p>
    <w:p>
      <w:r>
        <w:t>2.6.   Per quanto concerne lammissibilità di un ricorso al TF in funzione del valore litigioso della causa, con sentenza 4A_83/2013 del 20 giugno 2013 lAlta Corte ha affermato che:</w:t>
      </w:r>
    </w:p>
    <w:p>
      <w:r>
        <w:t>"()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w:t>
      </w:r>
    </w:p>
    <w:p>
      <w:r>
        <w:t>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