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36.2018.57 vom 9. Oktober 2018</w:t>
      </w:r>
    </w:p>
    <w:p>
      <w:r>
        <w:t>TI Tribunale d'appello, 2018-10-09, IT</w:t>
      </w:r>
    </w:p>
    <w:p>
      <w:r>
        <w:rPr>
          <w:b/>
        </w:rPr>
        <w:t xml:space="preserve">Quelle: </w:t>
      </w:r>
      <w:r>
        <w:t>https://mcp.opencaselaw.ch/entscheid/ti_gerichte_36.2018.57</w:t>
      </w:r>
    </w:p>
    <w:p>
      <w:r>
        <w:t>FR: TI_GERICHTE 36.2018.57 du 9 octobre 2018</w:t>
      </w:r>
    </w:p>
    <w:p>
      <w:r>
        <w:t>IT: TI_GERICHTE 36.2018.57 del 9 ottobre 2018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aprile 2018).</w:t>
      </w:r>
    </w:p>
    <w:p>
      <w:r>
        <w:t>2.10.   Per quanto concerne lammissibilità di un ricorso al TF in funzione del valore litigioso della causa, con sentenza 4A_83/2013 del 20 giugno 2013 lAlta Corte ha affermato che:</w:t>
      </w:r>
    </w:p>
    <w:p>
      <w:r>
        <w:t>"() Esso è ammissibile a prescindere dal valore litigioso (di soli fr. 1'120.--) poiché, come afferma correttamente la ricorrente, nel Cantone Ticino le controversie tra assicurati e assicuratori concernenti le assicurazioni complementari allassicurazione contro le malattie sono di competenza del Tribunale cantonale delle assicurazioni in prima e unica istanza (art. 74 cpv. 1 lett. b LTF; art. 7 CPC; art. 75 della legge ticinese di applicazione della LAMal del 26 giugno 1997 [RL/TI 6.4.6.1]; DTF 138 III 799 consid. 1.1).</w:t>
      </w:r>
    </w:p>
    <w:p>
      <w:r>
        <w:t>Secondo l'art. 49 cpv. 2 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dellattore.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