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36.2018.18 vom 24. Mai 2018</w:t>
      </w:r>
    </w:p>
    <w:p>
      <w:r>
        <w:t>TI Tribunale d'appello, 2018-05-24, IT</w:t>
      </w:r>
    </w:p>
    <w:p>
      <w:r>
        <w:rPr>
          <w:b/>
        </w:rPr>
        <w:t xml:space="preserve">Quelle: </w:t>
      </w:r>
      <w:r>
        <w:t>https://mcp.opencaselaw.ch/entscheid/ti_gerichte_36.2018.18</w:t>
      </w:r>
    </w:p>
    <w:p>
      <w:r>
        <w:t>FR: TI_GERICHTE 36.2018.18 du 24 mai 2018</w:t>
      </w:r>
    </w:p>
    <w:p>
      <w:r>
        <w:t>IT: TI_GERICHTE 36.2018.18 del 24 maggio 2018</w:t>
      </w:r>
    </w:p>
    <w:p>
      <w:pPr>
        <w:pStyle w:val="Heading2"/>
      </w:pPr>
      <w:r>
        <w:t>Erwägungen</w:t>
      </w:r>
    </w:p>
    <w:p>
      <w:r>
        <w:rPr>
          <w:b/>
        </w:rPr>
        <w:t>E. 21</w:t>
      </w:r>
    </w:p>
    <w:p>
      <w:r>
        <w:t>luglio 2003).</w:t>
      </w:r>
    </w:p>
    <w:p>
      <w:r>
        <w:t>Per una critica dottrinale della STF 9C_699/2014 del 31 agosto 2015 in cui il Tribunale federale, giudicando a corte completa, ha annullato una decisione del Tribunale cantonale delle assicurazioni del Cantone Ticino siccome emanata a giudice unico, apparentemente instaurando così una nuova e più restrittiva prassi rispetto al passato, cfr.Ivano Ranzanici: La possibilità concessa dallart. 49 cpv. 2 LOG alla Sezione di diritto pubblico del Tribunale di Appello di emanare giudizi monocratici alla luce della recente giurisprudenza federale, in RtiD I  2016, pagg. 307 e segg., in particolare ad 4.3.3 pag. 328 e segg.</w:t>
      </w:r>
    </w:p>
    <w:p>
      <w:r>
        <w:t>Va inoltre segnalato che in giudizi successivi, in particolare nella STF 1C_569/2015 dell11 novembre 2015, lAlta Corte ha confermato la sua costante prassi antecedente il 31 agosto 2015, senza quindi riprendere il giudizio criticato in Ticino per i suoi effetti negativi (Ranzanici,op. cit., n. 4.3.3 pag. 328 seg.).</w:t>
      </w:r>
    </w:p>
    <w:p>
      <w:r>
        <w:t>2.   A norma dellart. 76 cpv. 1 e 2 della Legge cantonale di applicazione della LAMal (LCAMal qui di seguito), contro le decisioni dellamministrazione emanate in applicazione della medesima legge è possibile il reclamo allorgano che ha pronunciato il provvedimento, ciò nel termine di 30 giorni dalla notificazione. Nel medesimo termine sono impugnabili al Tribunale cantonale delle assicurazioni le decisioni emanate su reclamo da parte dellautorità amministrativa preposta. Il Tribunale cantonale delle assicurazioni è quindi competente a esaminare i ricorsi in materia. In concreto il ricorso è ricevibile siccome tempestivo e motivato in maniera comunque sufficiente.</w:t>
      </w:r>
    </w:p>
    <w:p>
      <w:r>
        <w:t>3.   Dal 2012 le norme della Legge Cantonale di applicazione della LAMal (LCAMal qui di seguito), che reggono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24 giugno 2010 (Bollettino Ufficiale 2010, 297). Il legislatore ha previsto un nuovo sistema di attribuzione dei sussidi, conformemente al dettato degli art. 65 e seg. LAMal, al fine di rendere più efficace laiuto sociale, la precedente normativa aveva mostrato talune lacune e, soprattutto, per ottemperare gli obiettivi di politica sociale cantonale valuti con ladozione della Legge sullarmonizzazione delle prestazioni sociali del 5 giugno 2000 (in questo senso ilMessaggio15 settembre 2009 del Consiglio di Stato accompagnante il disegno di legge di modifica della LCAM, a pagina 7, ed il relativoRapportodella Commissione della gestione e delle finanze del l8 giugno 2010 a pagina 1, per maggiori dettagli e specifiche si veda:Ivano Ranzanici,La riduzione dei premi dellassicurazione malattia; tesi pubblicata nella collana AISUF [n. 364], edita da Schulthess Verlag Zurigo, 2016, in particolare il capitolo 14, p. 357 e ss.). Il Consiglio di Stato, con il disegno di legge, e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w:t>
      </w:r>
    </w:p>
    <w:p>
      <w:r>
        <w:t>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evitaregli effetti indesideratidel precedente ma anche atenere conto della reale situazione dellofferta assicurativa  nellambito dellassicurazione di base con lintroduzione del premio medio di riferimentoche sostituisce la nozione di media cantonale ponderata precedentemente ritenuta.</w:t>
      </w:r>
    </w:p>
    <w:p>
      <w:r>
        <w:t>Il Cantone gode, nella concretizzazione di quanto in materia di RIPAM prevede la LAMal, di ampio margine di valutazione ed apprezzamento (Ranzanici,tesi citata, capitoli 6.1.2.4. [p. 156] e 8 [p. 195 e ss.], in particolare capitolo 8.4.5. [p. 207 e ss.]) ed è vincolato in particolare da quanto impone lart. 65 cpv. 1 bis LAMal secondo cui, per i redditi medi e bassi, i Cantoni riducono di almeno il 50 per cento i premi dei minorenni e dei giovani adulti in periodo di formazione (oltre allobbligo dinformazione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w:t>
      </w:r>
    </w:p>
    <w:p>
      <w:r>
        <w:t>Il Cantone accorda le riduzioni dei premi dellassicurazione obbligatoria delle cure medico sanitarie (art. 23 LCAMal) a fronte della presentazione di unistanza scritta accompagnata dalla necessaria documentazione (art. 25 LCAMal) da parte degli assicurati, fatto salvo il caso dei beneficiari di prestazioni complementari allAVS ed allAI nonché di prestazioni Laps (art. 42 e 43 LCAMal). Per gli assicurati tassati in via ordinaria listanza deve essere di principio inoltrata entro la fine dellanno che precede lanno per il quale il sussidio è richiesto. Se la data è rispettata e se dati i presupposti laiuto sociale è versato dal 1 gennaio dellanno di competenza (ed in costanza delle condizioni per laiuto sociale lo stesso è versato per tutto lanno). Se la domanda è tardiva e formulata dopo il termine del 31 dicembre dellanno che precede quello di competenza, il diritto alla riduzione per gli assicurati in via ordinaria è dato solo a partire dal mese seguente quello della presentazione della richiesta.</w:t>
      </w:r>
    </w:p>
    <w:p>
      <w:r>
        <w:t>4.   Il premio medio di riferimento, necessario alla determinazione del diritto alla RIPAM, è costituito dalla media ponderata dei premi riconosciuti come appena descritto e del numero degli assicurati iscritti presso ogni singolo assicuratore, ripartiti per le regioni di premio ammesse (art. 61 cpv. 2 LAMal). Il Consiglio di Stato stabilisce annualmente il premio medio di rifermento per ogni singola categoria di assicurati prevista dalla LAMal. Alla base del diritto alla riduzione del premio è stato posto il reddito disponibile che è dedotto dai dati accertati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è fissata sulla base della tassazione indicata dal Consiglio di Stato nel suo annuale decreto, con la precisazione però che va reintegrata la sostanza donata o ceduta in usufrutto che deve essere computata nel calcolo (art. 30 a LCAMal). Per questa ultima ipotesi occorre riferirsi alla situazione che emerge dallultima tassazione che precede la donazione o cessione in usufrutto. Il regolamento di applicazione della legge (RLCAM) 29 maggio 2012 allart. 16, prevede che, in queste ipotesi (sia che la cessione avvenga prima o durante il periodo fiscale determinante), nel calcolo del reddito di riferimento siano considerati i valori di sostanza antecedenti la rinuncia. I dati registrati nella tassazione fiscale prima della donazione o della cessione in usufrutto sono riportati anche sui periodi fiscali successivi e il rispettivo ammontare è ridotto annualmente di CHF 10'000.00.</w:t>
      </w:r>
    </w:p>
    <w:p>
      <w:r>
        <w:t>Lart. 31 LCAMal definisce il reddito disponibile. Lo stesso è determinato dalla somma di tutti i redditi dellunità di riferimento secondo la LT, cui va aggiunto un quindicesimo della sostanza netta ritenuta nella tassazione dalla quale, contrariamente al diritto previgente, non è più dedotta alcuna franchigia. Dallimporto così calcolato sono ammesse specifiche deduzioni.</w:t>
      </w:r>
    </w:p>
    <w:p>
      <w:r>
        <w:t>5.   A partire dalla RIPAM 2015 il legislatore ha introdotto il nuovo concetto di reddito disponibile massimo (Ranzanici,tesi citata, capitolo 15.2. p. 474 e ss., in particolare 15.2.2. p. 476). Per tale norma la riduzione dei premi è accordata sino al raggiungimento di un reddito disponibile massimo che, per le UR senza figli, è definito con la formula di calcolo (ermetica) seguente:</w:t>
      </w:r>
    </w:p>
    <w:p>
      <w:r>
        <w:t>RDM = costante del 3,4 x 50% del limite di fabbisogno Laps senza computo della pigione</w:t>
      </w:r>
    </w:p>
    <w:p>
      <w:r>
        <w:t>Se dell'UR fanno parte dei figli la formula diviene ancor più complessa per cui:</w:t>
      </w:r>
    </w:p>
    <w:p>
      <w:r>
        <w:t>RDM = [costante del 3,9 + 1  (n° dei figli) / 10] x 50 % del limite di fabbisogno Laps senza computo della pigione.</w:t>
      </w:r>
    </w:p>
    <w:p>
      <w:r>
        <w:t>Le due formule adottate dal legislatore appaiono complesse. Esse fanno riferimento ai valori ritenuti allart. 10 Laps (considerato per il suo 50%), e ritengono due valori costanti del 3.4 e del 3,9.</w:t>
      </w:r>
    </w:p>
    <w:p>
      <w:r>
        <w:t>Nel corso dei lavori preparatori (Messaggio6982 del 10 settembre 2014 relativo alla modifica della Legge cantonale di applicazione della LAMal del 26 giugno 1997), lesecutivo cantonale ha voluto inserire nella legge un limite esplicito  (che) non dipende dai PMR Lintroduzione di questo nuovo parametro consente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per queste situazioni reddituali(Messaggio citato, p. 13).</w:t>
      </w:r>
    </w:p>
    <w:p>
      <w:r>
        <w:t>Posto il principio di fissare un reddito disponibile massimo il Messaggio ha indicato la volontà di sostenere maggiormente le persone con figli a carico: Dopo vari approfondimenti dimpatto sulle differenti tipologie di UR, si ritiene di dover considerare maggiormente le UR con figli a carico, perciò le famiglie monoparentali e biparentali, piuttosto che le persone sole o le coppie senza figli(Messaggio citato, p. 13).</w:t>
      </w:r>
    </w:p>
    <w:p>
      <w:r>
        <w:t>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in caso di presenza di figli, ritenuto comunque che lesecutivo può cambiare tali costanti nel suo annuale decreto di fissazione dei parametri lattribuzione della RIPAM. Sempre nel suo messaggio (p. 13) il Consiglio di Stato ha considerato che la riduzione dei premi: è una prestazione coordinata ai sensi della Laps , il RDM è calcolato come un multiplo del 50% del limite di RD Laps; per le UR con figli il multiplo aumenta in funzione del numero di figli.</w:t>
      </w:r>
    </w:p>
    <w:p>
      <w:r>
        <w:t>Per stabilire la costante lesecutivo ha presentato nel Messaggio (p. 14 e 15) specifiche tabelle di verifica dellimpatto del calcolo ed ha considerato come il valore delle costanti  influenza limporto del RDM: tanto minore è il valore della costante, (quanto) minore è  limporto del RDM e, di conseguenza, diminuisce  anche il numero dei beneficiari con redditi alti. La Tabella 2 (fonte IAS) illustra i limiti di reddito massimo disponibile per tipologia di unità di riferimento secondo la modifica di legge proposta (e poi accettata il 3 novembre 2014) e il sistema precedente, con una chiara diminuzione dei redditi massimi, più elevata per le coppie e le famiglie monoparentali.</w:t>
      </w:r>
    </w:p>
    <w:p>
      <w:r>
        <w:t>In sostanza le costanti scelte dal Parlamento, e che il Consiglio di Stato (va ribadito)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w:t>
      </w:r>
    </w:p>
    <w:p>
      <w:r>
        <w:t>6.   Come anticipato per determinare il parametro da porre alla base del calcolo della RIPAM dellUR si deve stabilire il RDS (Reddito disponibile fissato in maniera semplificata partendo dai dati fiscali) che si determina partendo dal reddito lordo riportato dalla decisione di tassazione per limposta cantonale del periodo di tassazione determinato dal Consiglio di Stato, aumentato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(v.Ranzanici,tesi citata, capitolo 14.8. p. 387 e ss.)</w:t>
      </w:r>
    </w:p>
    <w:p>
      <w:r>
        <w:t>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unreddito disponibile di tipo operativo che precisa la reale capacità economica degli assicurati, ed è costituito dalla somma di ogni reddito, indipendentemente dalla sua fonte, ritenuto nella tassazione fissata dallesecutivo cantonale annualmente, cui va aggiunta una quota della sostanza (1/15 della sostanza netta secondo la LT, senza imputazione di franchigia alcuna).</w:t>
      </w:r>
    </w:p>
    <w:p>
      <w:r>
        <w:t>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(Messaggio, op. cit., pag. 16 in initio).</w:t>
      </w:r>
    </w:p>
    <w:p>
      <w:r>
        <w:t>Dai lavori preparatori discende che il Giudice delle assicurazioni sociali (e prima ancora lamministrazione) farà capo alla decisione di tassazione del periodo determinato dal Consiglio di Stato (art. 30 cpv. 1 LCAMal) per fissare il RDS (si vedaRanzanici, tesi citata, n. 826, p. 433, capitolo 14.8.6). Va sin dora osservato (come rammentato nelle STCA 36.2016.130-131 del 15 marzo 2017;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che:"per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l'assicurato deve innanzitutto difendere i suoi diritti nel procedimento fiscale anche per quanto concerne i contributi delle assicurazioni sociali".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w:t>
      </w:r>
    </w:p>
    <w:p>
      <w:r>
        <w:t>Lart. 14 RLCAMal, prevede in particolare, ai suoi capoversi 2 e seguenti che:</w:t>
      </w:r>
    </w:p>
    <w:p>
      <w:r>
        <w:t>a)    cessazione parziale dellattività lucrativa nelle situazioni di cui alle lett. e), f) e g) del capoverso 1;</w:t>
      </w:r>
    </w:p>
    <w:p>
      <w:r>
        <w:t>b)   diminuzione delle prestazioni, in forma di rendite e indennità giornaliere delle assicurazioni sociali o private, o delle pensioni alimentari, rispetto al relativo dato desunto dalla tassazione fiscale determinante;</w:t>
      </w:r>
    </w:p>
    <w:p>
      <w:r>
        <w:t>c)   diminuzione del reddito da lavoro (da attività dipendente o indipendente) per altri fattori oltre a quelli indicati alla lett. a), rispetto al relativo dato desunto dalla tassazione fiscale determinante;</w:t>
      </w:r>
    </w:p>
    <w:p>
      <w:r>
        <w:t>d)   diminuzione degli affitti percepiti, rispetto al relativo dato desunto dalla tassazione fiscale determinante;</w:t>
      </w:r>
    </w:p>
    <w:p>
      <w:r>
        <w:t>e)   diminuzione importante dei valori di sostanza desunti dalla tassazione fiscale determinante, se lutilizzo della sostanza è comprovato e giustificato per necessità primarie proprie.</w:t>
      </w:r>
    </w:p>
    <w:p>
      <w:r>
        <w:t>3Nelle evenienze di cui ai capoversi 1 e 2, in caso di esistenza di sostanza e reddito della sostanza (immobiliare e mobiliare), i dati necessari sono desunti dallultima tassazione fiscale cresciuta in giudicato al momento dellistanza.</w:t>
      </w:r>
    </w:p>
    <w:p>
      <w:r>
        <w:t>4I dati necessari nelle evenienze di cui ai capoversi 1 e 2 sono accertati mediante uno specifico modulo ufficiale che è recapitato dalla Cassa cantonale di compensazione AVS/AI/IPG.</w:t>
      </w:r>
    </w:p>
    <w:p>
      <w:r>
        <w:t>5Per le persone non residenti in Svizzera, assicurate obbligatoriamente in Svizzera in ragione degli Accordi bilaterali CH/CE o della Convenzione istitutiva dellAELS, di cui alla lett. a) del capoverso 1, si richiamano le disposizioni federali specifiche relative al calcolo del reddito determinante.</w:t>
      </w:r>
    </w:p>
    <w:p>
      <w:r>
        <w:t>In caso di diminuzione del reddito conseguito comunicato allam-ministrazione la Cassa procede alla determinazione del diritto alla riduzione del premio al di fuori dei parametri fiscali, accertando il reddito da ultimo conseguito dai membri che compongono lunità di riferimento.</w:t>
      </w:r>
    </w:p>
    <w:p>
      <w:r>
        <w:t>7.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LAINF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 ancora per linvalidità (per una critica si vedaRanzanici,tesi citata, p. 423 nota 803 e p. 437 e ss. note 833 e ss.), rispettivamente spese di gestione e manutenzione immobili o le deduzioni ammesse fiscalmente per figli a carico od ancora per doppia economia non possono essere considerate.</w:t>
      </w:r>
    </w:p>
    <w:p>
      <w:r>
        <w:t>Secondo le nuove norme la spesa per interessi passivi è  come detto  ammessa se effettiva e dimostrata dai dati fiscali ma entro il limite massimo di CHF 3'000.00. Laccento è posto sulla natura della spesa ritenuta vincolata per leconomia domestica e riferibile, nella quasi totalità dei casi, ai debiti ipotecari. La deducibilità, per il Messaggio, sarebbe necessaria pergarantire una certa parità di trattamento tra proprietari e inquilini ed evitare di penalizzare i proprietari di case gravati da unipoteca sulla casa primaria(pag.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 (si veda anche:Ranzanici, tesi citata, n. 790 e 800 e 801, p. 388 e 421 e seguente, nota a piè pagina 1211).</w:t>
      </w:r>
    </w:p>
    <w:p>
      <w:r>
        <w:t>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questaspetto la volontà del legislatore appare chiara.</w:t>
      </w:r>
    </w:p>
    <w:p>
      <w:r>
        <w:t>8.   Va indicato che per lanno2018, lesecutivo cantonale ha così fissato le basi di calcolo nel decreto esecutivo del 15 novembre 2017:</w:t>
      </w:r>
    </w:p>
    <w:p>
      <w:r>
        <w:t>a)  periodo fiscale per laccertamento del reddito disponibile di riferimento: classificazioni dellimposta cantonale per lanno 2015.</w:t>
      </w:r>
    </w:p>
    <w:p>
      <w:r>
        <w:t>b)  premio medio di riferimento per gli adulti: CHF 5577.--, per i giovani adulti CHF 5119.-- e per i minorenni CHF 1284.--.</w:t>
      </w:r>
    </w:p>
    <w:p>
      <w:r>
        <w:t>La costante per il calcolo del reddito disponibile massimo è stata determinata, per lunità di riferimento senza figli in 3.2 e per lunità di riferimento con figli in 4.5.</w:t>
      </w:r>
    </w:p>
    <w:p>
      <w:r>
        <w:t>Il decreto rammenta poi che per i proprietari o usufruttuari di sostanza immobiliare, ai fini del calcolo del reddito disponibile di riferimento ai sensi dellart. 30 LCAMal, il valore della sostanza immobiliare registrato nella tassazione di riferimento di ciascun membro dellunità di riferimento è maggiorato con la percentuale di adeguamento prevista dallUfficio cantonale di stima.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