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36.2017.32 vom 15. Mai 2017</w:t>
      </w:r>
    </w:p>
    <w:p>
      <w:r>
        <w:t>TI Tribunale d'appello, 2017-05-15, IT</w:t>
      </w:r>
    </w:p>
    <w:p>
      <w:r>
        <w:rPr>
          <w:b/>
        </w:rPr>
        <w:t xml:space="preserve">Quelle: </w:t>
      </w:r>
      <w:r>
        <w:t>https://mcp.opencaselaw.ch/entscheid/ti_gerichte_36.2017.32</w:t>
      </w:r>
    </w:p>
    <w:p>
      <w:r>
        <w:t>FR: TI_GERICHTE 36.2017.32 du 15 mai 2017</w:t>
      </w:r>
    </w:p>
    <w:p>
      <w:r>
        <w:t>IT: TI_GERICHTE 36.2017.32 del 15 maggio 2017</w:t>
      </w:r>
    </w:p>
    <w:p>
      <w:pPr>
        <w:pStyle w:val="Heading2"/>
      </w:pPr>
      <w:r>
        <w:t>Regeste</w:t>
      </w:r>
    </w:p>
    <w:p>
      <w:r>
        <w:t>Studente domiciliato in Svizzera chiede l'esonero dall'obbligo assicurativo LAMal durante la permanenza in Canada per uno scambio universitario. Richiesta respinta poiché l'assicurazione estera non è equivalente a quella svizzera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cpv. 2 della Legge sullorganizzazione giudiziaria (cfr. STF 9C_699/2014 del 31 agosto 2015, in particolare consid. 5.2, 5.3 e 6.1; STF 8C_452/2011 del 12 marzo 2012; STF 8C_855/2010 dell'11 luglio 2011; STF 9C_211/2010 del 18 febbraio 2011, consid. 2.1; STF 9C_792/2007 del 7 novembre 2008; STF H 180/06 e H 183/06 del 21 dicembre 2007; STFA I 707/00 del 21 luglio 2003; STFA H 335/00 del 18 febbraio 2002; STFA H 212/00 del 4 febbraio 2002; STFA H 220/00 del 29 gennaio 2002; STFA U 347/98 del 10 ottobre 2001, pubblicata in RDAT I-2002 pag. 190 seg.; STFA H 304/99 del 22 dicembre 2000; STFA I 623/98 del 26 ottobre 1999. Vedi pure: STF 9C_807/2014 del 9 settembre 2015; STF 9C_585/2014 dell8 settembre 2015).</w:t>
      </w:r>
    </w:p>
    <w:p>
      <w:r>
        <w:t>nel merito</w:t>
      </w:r>
    </w:p>
    <w:p>
      <w:r>
        <w:t>"1Ogni persona domiciliata in Svizzera deve assicurarsi o farsi assicurare dal proprio rappresentante legale per le cure medico-sanitarie entro tre mesi dallacquisizione del domicilio o dalla nascita in Svizzera.</w:t>
      </w:r>
    </w:p>
    <w:p>
      <w:r>
        <w:t>2Il Consiglio federale può prevedere eccezioni allobbligo dassicu-razione, segnatamente per le persone beneficiarie di privilegi, immunità e facilitazioni di cui allarticolo 2 capoverso 2 della legge del 22 giugno 2007sullo Stato ospite.</w:t>
      </w:r>
    </w:p>
    <w:p>
      <w:r>
        <w:t>3Può estendere lobbligo dassicurazione a persone non aventi il domicilio in Svizzera, in particolare a quelle che:</w:t>
      </w:r>
    </w:p>
    <w:p>
      <w:r>
        <w:t>a.esercitano unattività in Svizzera o vi hanno la propria dimora abituale (art. 13 cpv. 2 LPGA).</w:t>
      </w:r>
    </w:p>
    <w:p>
      <w:r>
        <w:t>b. lavorano allestero per conto di un datore di lavoro con sede in Svizzera.</w:t>
      </w:r>
    </w:p>
    <w:p>
      <w:r>
        <w:t>4Lobbligo dassicurazione è sospeso per le persone soggette per più di 60 giorni consecutivi alla legge federale del 19 giugno 1992 sullassicurazione militare (LAM). Il Consiglio federale disciplina la procedura.</w:t>
      </w:r>
    </w:p>
    <w:p>
      <w:r>
        <w:t>A norma dellart. 1 cpv. 1 OAMal:</w:t>
      </w:r>
    </w:p>
    <w:p>
      <w:r>
        <w:t>"1Le persone domiciliate in Svizzera ai sensi degli articoli 23 a 26 del Codice civile svizzero(CC) sono tenute ad assicurarsi conforme-mente allarticolo 3 della legge.</w:t>
      </w:r>
    </w:p>
    <w:p>
      <w:r>
        <w:t>"2Adomanda, sono esentate dallobbligo dassicurazione le persone obbligatoriamente assicurate contro le malattie in virtù del diritto di uno Stato con il quale non sussiste alcuna normativa concernente la delimitazione dellobbligo di assicurazione, se lassoggettamento allassicurazione svizzera costituirebbe un doppio onere e se esse beneficiano di una copertura assicurativa equivalente per le cure in Svizzera.</w:t>
      </w:r>
    </w:p>
    <w:p>
      <w:r>
        <w:t>Alla domanda va accluso un attestato scritto dellorgano estero competente che dia tutte le informazioni necessarie.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