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36.2017.31 vom 8. Juni 2017</w:t>
      </w:r>
    </w:p>
    <w:p>
      <w:r>
        <w:t>TI Tribunale d'appello, 2017-06-08, IT</w:t>
      </w:r>
    </w:p>
    <w:p>
      <w:r>
        <w:rPr>
          <w:b/>
        </w:rPr>
        <w:t xml:space="preserve">Quelle: </w:t>
      </w:r>
      <w:r>
        <w:t>https://mcp.opencaselaw.ch/entscheid/ti_gerichte_36.2017.31</w:t>
      </w:r>
    </w:p>
    <w:p>
      <w:r>
        <w:t>FR: TI_GERICHTE 36.2017.31 du 8 juin 2017</w:t>
      </w:r>
    </w:p>
    <w:p>
      <w:r>
        <w:t>IT: TI_GERICHTE 36.2017.31 del 8 giugno 2017</w:t>
      </w:r>
    </w:p>
    <w:p>
      <w:pPr>
        <w:pStyle w:val="Heading2"/>
      </w:pPr>
      <w:r>
        <w:t>Regeste</w:t>
      </w:r>
    </w:p>
    <w:p>
      <w:r>
        <w:t>Interpretazione delle CGA di un'assicurazione complementare all'assicurazione contro le malattie. Condanna dell'assicuratore al pagamento dell'importo richiesto di fr. 2'000 per le prestazioni di aiuto a domicilio</w:t>
      </w:r>
    </w:p>
    <w:p>
      <w:pPr>
        <w:pStyle w:val="Heading2"/>
      </w:pPr>
      <w:r>
        <w:t>Erwägungen</w:t>
      </w:r>
    </w:p>
    <w:p>
      <w:r>
        <w:rPr>
          <w:b/>
        </w:rPr>
        <w:t>E. 26</w:t>
      </w:r>
    </w:p>
    <w:p>
      <w:r>
        <w:t>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2.6.   Con sentenza 4C.6/2007 del 5 aprile 2007 l’Alta Corte, a proposito dell’interpretazione di un contratto, ha affermato: " La controversia verte principalmente sull'interpretazione della clausola contrattuale concernente la condizione alla quale è stato subordinato l'esercizio del diritto di compera. (…) 3.2 In concreto è in particolare litigioso il significato della condizione per l'esercizio del diritto di compera, così definita: "se al momento dell'esercizio egli conduce ancora personalmente l'azienda agricola". La convenuta spiega che mediante questa condizione essa mirava chiaramente a escludere l'uso e la gestione da parte di terzi del nucleo dell'azienda, dove lei continuava a vivere insieme al marito; si era pertanto impegnata a vendere il fondo a condizione che al momento dell'esercizio del diritto di compera "il fulcro dell'azienda del padre, con stalla, fienile e annessi nonché con la casa d'abitazione dove i genitori vivono sotto lo stesso tetto con il figlio [fosse] stato utilizzato e gestito dal figlio". Ora, il fatto che nel 2003 la stalla e altre rimesse fossero utilizzate da altre persone indica che la condizione pattuita non è stata ossequiata, donde la sua opposizione all'adempimento del contratto. La decisione diversa dei giudici cantonali, secondo i quali per esercitare il diritto di compera bastava che l'attore facesse il contadino e conducesse personalmente l'azienda agricola, è - secondo la convenuta - lesiva del diritto federale giacché i giudici, senza spiegarne i motivi, si sono discostati dalla regola della priorità dell'interpretazione soggettiva e hanno proceduto a un'interpretazione oggettiva della clausola contrattuale. Si tratta di una censura manifestamente infondata. 3.3 I giudici cantonali hanno infatti ritenuto che non vi fosse motivo di scostarsi dal testo chiaro della clausola contrattuale, attestante la reale volontà delle parti al momento della stipulazione del contratto. Essi sono giunti a questa conclusione riferendosi principalmente alla deposizione di D.________ - coinvolto nell'allestimento dell'accordo ora controverso - il quale ha dichiarato che "l'intenzione dei contraenti era che il tutto rimanesse assieme e che appartenesse al gestore dell'azienda paterna". L'autorità cantonale ne ha dedotto che la madre aveva "promesso all'attore di vendergli il maggese se al momento dell'esercizio del diritto di compera questi avesse fatto il contadino e condotto personalmente la fattoria paterna". Più avanti i giudici cantonali hanno ribadito che "la testimonianza di D.________ è indizio che lascia concludere alla vera volontà della madre e questa collima col testo della condizione posta". Alla luce di quanto appena esposto è fuori di dubbio che la giurisprudenza sviluppata dal Tribunale federale attorno all'art. 18 cpv. 1 CO è stata applicata correttamente, perché la clausola contrattuale litigiosa è stata interpretata correttamente secondo il metodo soggettivo. 3.4 L'interpretazione soggettiva di un contratto, come detto al consid. 3.1, pertiene al fatto, deriva dall'apprezzamento delle prove ed è insindacabile nella giurisdizione per riforma. Per il Tribunale federale la volontà delle parti è pertanto quella accertata nella sentenza impugnata, secondo la quale i contraenti volevano che il podere di famiglia rimanesse unito e di proprietà del gestore dell'azienda paterna, ma non avevano precisato il modo in cui questa avrebbe dovuto essere gestita, né escluso cambiamenti futuri; ciò significa che il figlio non avrebbe necessariamente dovuto coltivare né utilizzare di persona tutti i fondi. Tutte le argomentazioni che presuppongono uno stato di fatto diverso e che disquisiscono su quella che sarebbe stata l'intenzione della convenuta al momento della conclusione del contratto, si avverano di conseguenza inammissibili.” 2.7.   Va ancora rilevato , come evidenziato da dottrina ( Carrė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contractants…fixent l'étendue de la couverture" ( V. Brulhart , op. cit., n° 26-4). La dottrina ricorda che l'uso di condizioni generali è la regola in materia di contratto d'assicurazione: " De fait, l'utilisation des conditions générales est indissociable de la technique d'assurance." ( V. Brulhart , op. cit., n° 267) 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 V. Brulhart , op. cit., n° 270 pag. 121) conducono all'offerta di prodotti standardizzati, con rischi e garanzie uniformati "…ce qui intervient par l'utilisation de conditions contractuelles préformulées " ( V. Brulhart , op. cit., n° 271, pag. 121). Come indicato le CGA, che non hanno qualità di norme giuridiche, reggono il contratto solo se vengono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V. Brulhart , op. cit., n° 399)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 Se il contratto d'assicurazione non è sottoposto a condizioni di forma anche la proposta assicurativa ne è svincolata ( V. Brulhart , op. cit., n° 404 e n° 262) pur potendo le parti convenire altrimenti. Per quanto attiene alle CGA, definite da Erns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Se è ammissibile la conclusione di un contratto d'assicurazione per "facta concludentia" , deve essere ammessa la possibilità di modificare il contratto stesso rispettivamente le CGA con le medesime modalità. 2.8.   Non solo alle parti del contratto d'assicurazione deve essere riconosciuta la possibilità di modificare consensualmente le loro pattuizioni, eventualmente per atti concludenti, ma la LCA, all'art. 35, conosce la possibilità per lo stipulante di chiedere, in caso di modifica delle CGA "della medesima specie" , in corso d'assicurazione, che il contratto "sia continuato alle nuove condizioni" con adeguamento - se caso - del "congruo equivalente" . I contratti d'assicurazione vengono conclusi prevalentemente per periodi di tempo lunghi nel corso dei quali è possibile che l'assicuratore modifichi le CGA relative allo specifico rischio oggetto della polizza. In applicazione dei principi generali del diritto delle obbligazioni le nuove condizioni non possono reggere che i nuovi contratti (e se vi è adesione alle stesse da parte dei nuovi stipulanti come visto). I contratti in corso rimangono sottoposti alle CGA stabilite ed accettate al momento della loro conclusione. L'art. 35 LCA prevede, a questo proposito, un’eccezione garantendo allo stipulante il diritto di modificare la convenzione pattuita per mezzo di una dichiarazione unilaterale di volontà e quindi mediante l'esercizio di un diritto formatore. Il prof. Brulhart , ritiene che il fondamento di tale prerogativa "repose sur la conception selon laquelle les assurés seraient réunis sous une forme de communauté dont découlerait notamment une exigence d'égalité de traitement" (op. cit., loc. cit.). Tale diritto, ovviamente esercitato in caso di miglioramento delle condizioni in favore dello stipulante, ha quindi lo scopo sostanziale di permettere agli assicurati nella medesima situazione di essere posti in condizioni paritarie (in questo senso Roelli/Keller , op. cit., Tomo I pag. 519). Si deve trattare comunque di contratti del medesimo genere e quindi appartenenti al medesimo ramo assicurativo. Non si tratta di un automatismo, come indicato, ma dell'esercizio di un diritto formatore da parte dello stipulante con la possibilità per l'assicuratore di ottenere adeguamento del premio eventuale in caso di prestazioni assicurative più elevate ( Roelli/Keller op. cit., pag. 521). Lo stipulante "ne pourrait négocier individuellement les clauses de son contrat" (V. Brulhart, op. cit., loc. cit.) e neppure profittare dell'opportunità per disdire il contratto. Gli effetti del diritto formatore hanno efficacia dall'esercizio e pro futuro (ex nunc), altra soluzione non sarebbe ammissibile alla luce dell'art. 9 LCA. Quindi, non soltanto tramite l'esercizio del diritto formatore dell'art. 35 LCA è possibile la modifica del contratto d'assicurazione. Sempre nel rispetto delle prescrizioni imperative o semi imperative le parti possono cambiare, d'intesa tra loro, in ogni tempo le loro pattuizioni. Di volta in volta occorrerà analizzare, alla luce degli elementi concreti del caso, se tale pattuizione costituirà la continuazione del contratto esistente a condizioni nuove o la conclusione di un nuovo contratto. In merito si fa qui riferimento alla sentenza 24 luglio 2003 di questo TCA (36.2003.2 in particolare alle considerazioni del punto 2.6.). 2.9.   In concreto occorre innanzitutto esaminare se è possibile determinare la reale e concorde volontà delle parti al momento della conclusione del contratto. In sede di udienza il consulente ha precisato che in occasione dell’immissione sul mercato di un nuovo prodotto assicurativo denominato “__________”, ha contattato l’attrice o suo marito proponendo il passaggio dalla copertura denominata “__________”. Non essendoci la possibilità di un libero passaggio, ciò ha implicato la verifica dello stato di salute dei coniugi (doc. VII). La nuova assicurazione ha avuto effetto dal 1° gennaio 2012 (doc. 2). Al momento della conclusione del contratto relativo al nuovo prodotto non è stata fatta nessuna promessa all’attrice e nessuna interpretazione dei termini è stata specificatamente concordata (doc. VII). Ne segue che non è possibile determinare la reale e concorde volontà delle parti in relazione al termine “ parenti prossimi ” di cui all’art. __________ CS. Occorre di conseguenza interpretare oggettivamente la clausola litigiosa, secondo il principio dell'affidamento, ovvero secondo il senso che ogni contraente poteva e doveva ragionevolmente attribuire alle dichiarazioni dell'altro nelle circostanze concrete (cfr. sentenza 4A_468/2008 del 20 febbraio 2009, consid. 2.4.1 e sentenza 4A_371/2009 del 30 novembre 2009). 2.10.   In concreto, l’art. __________ CS, prevede, tra l’altro, che l’aiuto deve essere prestato “ da una persona non facente parte dei parenti prossimi dell’assicurato ”. La norma, a differenza di quanto prevedono alcuni articoli di legge citati dall’attrice (cfr. art. 42 quinques LAI per il quale l’assicurazione versa il contributo per l’assistenza a copertura delle prestazioni d’aiuto di cui l’assicurato ha bisogno e che gli sono fornite regolarmente da una persona fisica (assistente) assunta dall’assicurato o dal suo rappresentante legale con un contratto di lavoro (lett. a) e che non sia il coniuge, il partner registrato, la persona con cui convive di fatto o un parente in linea retta (lett. b) o l’art. 110 cpv. 1 CP secondo cui per congiunti di una persona s’intendono il coniuge, il partner registrato, i parenti in linea retta, i fratelli e sorelle germani, consanguinei o uterini, i genitori adottivi, i fratelli e sorelle adottivi e i figli adottivi), non contiene alcun elenco delle persone comprese nella definizione di “ parenti prossimi ”. L’art. __________ CGA rinvia per analogia alle disposizioni e i criteri in vigore nell’ambito del diritto delle assicurazioni sociali ma solo per l’interpretazione delle definizioni di malattia, maternità, infortunio, efficacia, adeguatezza, economicità e domicilio. Con scritto del 13 febbraio 2017 l’assicuratore ha indicato che per la definizione di parente prossimo “ ci si attiene agli artt. 20 e 21 del Codice civile svizzero, i quali regolano le definizioni di parentela e di affinità ” (doc. F), escludendo di fatto i cognati dalla nozione di “ parenti ” essendo semmai da considerare quali “ affini ” ai sensi dell’art. 21 CC. In sede di risposta di causa lo stesso assicuratore ha tuttavia affermato che tale definizione non sarebbe quella corretta (“ Il concetto di parente prossimo delle CS di CV 1 è dunque più ampio di quello di parenti ai sensi dell’art. 20 CC; CV 1 è del resto autorizzata nelle proprie Condizioni a prevedere delle disposizioni in merito ”). Per l’art. 20 cpv. 1 CC il grado della parentela è determinato dal numero delle generazioni. Secondo l’art. 20 cpv. 2 CC due persone sono fra loro parenti in linea retta se una discende dall’altra; sono parenti in linea collaterale se discendono da un autore comune, ma non l’una dall’altra. Secondo l’art. 21 cpv. 2 CC chi è parente di una persona è affine nella stessa linea e nello stesso grado con il coniuge o il partner registrato. Ai sensi dell’art. 21 cpv. 2 CC l’affinità non cessa con lo scioglimento del matrimonio o dell’unione domestica registrata da cui deriva. Secondo il dizionario Garzanti (cfr. www.garzanti.it) il parente è colui che “ è legato ad altra persona da vincoli di parentela: parenti stretti, prossimi; parenti lontani, alla lontana; parente acquisito, diventato parente in seguito a un matrimonio ” (cfr. anche http://dizionari.repubblica.it/Italiano/P/parente.php). Secondo il dizionario Treccani il parente è la “ Persona unita ad altra da vincolo di parentela (sia consanguineo sia affine) ” (www.treccani.ti/vocabolario/parente/). Per prossimo si intende invece “ molto vicino nello spazio o nel tempo futuro: a Modena la cattedrale è prossima alla via Emilia; i lavori sono prossimi alla fine; sono prossimo a partire; Natale è ormai prossimo | parente prossimo , legato da uno stretto vincolo di parentela” (http://www.garzantilinguistica.it/ricerca/?q=prossimo); “ Molto vicino nello spazio; Parente prossimo , legato da stretta parentela” (http://dizionari.repubblica.it/Italiano/P/prossimo.php); “ Parente p ., che ha stretti vincoli di parentela ” ( http://www.treccani.it/vocabolario/prossimo/). In concreto, anche l’esame letterale della norma non permette di giungere ad un’interpretazione oggettiva. Infatti il concetto di prossimo, ossia legato da stretta parentela, non è sufficiente per determinare con certezza la cerchia delle persone comprese nella definizione della norma, essendo  troppo vago e poco preciso. D’altra parte la convenuta non può prevalersi alle versioni in tedesco e francese delle CS (“ […] von einer nicht zu den nächsten Angehörigen der versicherten Person gehörenden Person geleistet wird […] ”; “ […] une personne ne faisant pas partie de la famille de la personne assurée […] ”) . Da una parte le CS specifiche e le polizze non precisano che le versioni in lingua francese e/o tedesco farebbero fede in caso di controversia. D’altra parte il contratto è stato concluso in Ticino, da persone di lingua italiana, senza alcun rinvio a norme in altre lingue, e nulla poteva far presagire, al momento della conclusione del contratto, che altre versioni avrebbero avuto la precedenza. Occorre pertanto stabilire qual è il fine perseguito dalle parti. L’assicuratore evidenzia che contemplare i cognati tra i parenti prossimi avrebbe “ la sua giustificazione nel fatto che di regola in ambito familiare tale aiuto avviene gratuitamente, nell’ambito dell’obbligo di aiuto reciproco e sostegno tra parenti (cfr. anche art. 272 e 328f CC). Attività di aiuto domestico remunerate sono invece tipicamente effettuate da persone” attive “professionalmente a titolo indipendente o” quali “dipendente presso società di aiuto-volontariato/spitex .” (doc. III, pag. 6). In altre parole, scopo della norma è quello di prevenire eventuali abusi, nel senso di remunerare prestazioni che normalmente, per consuetudine, vengono fornite a titolo gratuito. Tuttavia, l’art. 272 CC prevede che “ i genitori ed i figli si devono vicendevolmente l’assistenza, i riguardi e il rispetto che il bene della comunione richiede ”, senza accennare ad altri parenti, così come l’art. 328 CC, il quale prevede che “ chi vive in condizioni agiate è tenuto a soccorrere i parenti in linea ascendente e discendente quando senza di ciò essi cadessero nel bisogno ”; “ è fatto salvo l’obbligo di mantenimento dei genitori e del coniuge o del partner registrato ”. Neppure quest’ultima norma, il cui elenco è esaustivo, comprende i cognati (cfr. Thomas Koller in Basler Kommentar, Zivilgesetzbuch I, 5a edizione, Basilea 2014, N. 6 ad art. 328/329). Il rinvio dell’assicuratore agli art. 272 e 328 CC, come in precedenza agli art. 20 e 21 CC, conforta pertanto l’interpretazione data dall’attrice, la quale ha ritenuto che l’esclusione si applica unicamente, oltre al coniuge (o al convivente o al partner registrato), ai parenti in linea retta discendenti ed ascendenti. Infatti, se è vero che di principio in ambito familiare l’aiuto avviene gratuitamente, ciò vale, di norma, oltre che per il coniuge, rispettivamente il convivente o il partner registrato, segnatamente per i parenti con un autore comune (cfr. art. 20 CC) e, semmai, per quelli che vivono sotto lo stesso tetto. Anche perché il disposto in esame non precisa che l’aiuto domiciliare debba essere stato fornito da persone attive professionalmente a titolo indipendente o quali dipendenti di società di aiuto volontariato/spitex. Se ciò fosse stata l’intenzione dell’assicuratore, avrebbe dovuto indicarlo esplicitamente nelle CS. Ne segue che l’interpretazione dell’art. __________ CS data dall’attrice, ossia l’inclusione della cognata tra le persone le cui prestazioni sono rimborsate in caso di sinistro, è conforme al senso che poteva e doveva ragionevolmente attribuire nelle circostanze concrete (cfr. sentenza 4A_468/2008 del 20 febbraio 2009, consid. 2.4.1 e sentenza 4A_371/2009 del 30 novembre 2009) e va tutelata. Ciò non significa che in assoluto, ossia in altri contesti, il termine “ parente prossimo ” non possa includere anche i cognati, ma nel preciso caso di specie esso non lo comprende. Ne segue che l’assicuratore è tenuto a versare all’attrice la prestazione pattuita pari a fr. 2'000.--. 2.11.   L’assicurata chiede il versamento di interessi al 5% dal 1° settembre 2016.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è con lo scritto del 16 febbraio 2017 che per la prima volta l’attrice ha chiesto il versamento dell’importo complessivo di fr. 2'000 (doc. H). Gli interessi sono pertanto dovuti a partire dal 17 febbraio 2017. 2.12.   L’attrice, tra i mezzi di prova richiesti, oltre ai documenti prodotti, ha citato il suo interrogatorio/la sua deposizione, nonché i testi __________, suo marito e __________, sua cognata (doc. 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(l’assicurata ha chiesto genericamente il suo interrogatorio/deposizione [cfr. doc. I]), questo TCA rinuncia all’audizione dell’attrice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Inoltre questo Tribunale non intravvede ragioni per assumere ulteriori prove e segnatamente sentire il marito dell’attrice e la sua cognata. Infatti la documentazione agli atti e la deposizione del teste __________ sono completi ed esaustivi e non necessitano di complementi (cfr.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