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36.2017.13 vom 5. April 2017</w:t>
      </w:r>
    </w:p>
    <w:p>
      <w:r>
        <w:t>TI Tribunale d'appello, 2017-04-05, IT</w:t>
      </w:r>
    </w:p>
    <w:p>
      <w:r>
        <w:rPr>
          <w:b/>
        </w:rPr>
        <w:t xml:space="preserve">Quelle: </w:t>
      </w:r>
      <w:r>
        <w:t>https://mcp.opencaselaw.ch/entscheid/ti_gerichte_36.2017.13</w:t>
      </w:r>
    </w:p>
    <w:p>
      <w:r>
        <w:t>FR: TI_GERICHTE 36.2017.13 du 5 avril 2017</w:t>
      </w:r>
    </w:p>
    <w:p>
      <w:r>
        <w:t>IT: TI_GERICHTE 36.2017.13 del 5 aprile 2017</w:t>
      </w:r>
    </w:p>
    <w:p>
      <w:pPr>
        <w:pStyle w:val="Heading2"/>
      </w:pPr>
      <w:r>
        <w:t>Regeste</w:t>
      </w:r>
    </w:p>
    <w:p>
      <w:r>
        <w:t>Richiesta di restituzione di premi pagati in troppo poiché l'assicurata avrebbe dovuto essere esonerata dall'obbligo assicurativo. Richiesta respinta. In concreto la richiesta è tardiva, la competenza decisionale circa l'esonero non è dell'assicuratore e non vi sono le condizioni della buona fede</w:t>
      </w:r>
    </w:p>
    <w:p>
      <w:pPr>
        <w:pStyle w:val="Heading2"/>
      </w:pPr>
      <w:r>
        <w:t>Erwägungen</w:t>
      </w:r>
    </w:p>
    <w:p>
      <w:r>
        <w:rPr>
          <w:b/>
        </w:rPr>
        <w:t>E. 1</w:t>
      </w:r>
    </w:p>
    <w:p>
      <w:r>
        <w:t>Gli assicuratori e gli organi esecutivi delle singole assicurazioni sociali, nei limiti delle loro competenze, sono tenuti ad informare le persone interessate sui loro diritti e obblighi.</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2.9</w:t>
      </w:r>
    </w:p>
    <w:p>
      <w:r>
        <w:t>La ricorrente chiede l’edizione dell’intero incarto dell’assicuratore, richiama il ricorso di cui alla procedura 36.2017.14 e chiede la propria audizione (doc. I e X). Con l’ordinanza del 25 gennaio 2017 il giudice delegato del TCA ha assegnato all’assicuratore un termine di 20 giorni per presentare la risposta di causa “ unitamente all’incarto completo ” (doc. II). Con risposta del 21 febbraio 2017 la convenuta ha prodotto la documentazione richiesta, elencandola a pag. 5 (doc. III). La ricorrente non sostiene che vi sia documentazione mancante, né questo Tribunale ha motivo di ritenerlo. Ne segue che la cassa ha dato seguito alla richiesta dell’assicurata. Questo TCA ha inoltre preso in considerazione anche il contenuto del parallelo ricorso della comunione ereditaria di cui all’incarto 36.2017.14. Quanto alla chiesta audizione, questo Tribunale rileva che essa può essere rifiutata senza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9C_796/2015 del 17 dicembre 2015, consid. 5.3; sentenza 8C_665/2014 23 marzo 2015, consid. 4;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(doc. I, pag. 4 e 6; la ricorrente chiede la propria “ audizione ”), questo TCA rinuncia all’audizione dell’interessata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Questo Tribunale, ritenuto che, in seguito agli accertamenti eseguiti,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3</w:t>
      </w:r>
    </w:p>
    <w:p>
      <w:r>
        <w:t>Se un assicuratore constata che un assicurato o i suoi congiunti possono rivendicare prestazioni di altre assicurazioni sociali, li informa immediatamente." La norma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Il capoverso 1 dell’art. 27 LPGA prevede dunque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2.8.   In concreto la ricorrente afferma di essere venuta a conoscenza della possibilità di essere esonerato dall’obbligo assicurativo solo nell’ambito di un colloquio con un conterraneo grazie al quale avrebbe poi inoltrato la richiesta di esonero, accolta il 6 febbraio 2013. La ricorrente non sostiene che l’assicuratore avrebbe fornito informazioni errate o non avrebbe dato seguito ad una richiesta di informazioni. Ella fa invece valere che sarebbe stato compito della convenuta, spontaneamente, renderla attenta circa le possibilità di esonero, ritenuto che si trattava di una pensionata proveniente dall’estero al beneficio della sola rendita pensionistica italiana. In primo luogo va evidenziato che la cassa cantonale di compensazione tramite l’Istituto delle assicurazioni sociali, ossia l’autorità competente a decidere circa l’esonero dall’obbligo assicurativo, fornisce quell’informazione generale ed astratta, esatta dall’art. 27 cpv. 1 LPGA, tramite la pubblicazione delle norme e segnatamente dei motivi di esonero nel Foglio Ufficiale fino al 2009 (FU 10/2003 del 4 febbraio 2003 pag. 833 e seguenti; FU 8/2004 del 27 gennaio 2004 pag. 634; FU 6/2005 del 21 gennaio 2005 pag. 466; FU 15/2006 del 21 febbraio 2006 pag. 1166; FU 11/2007 del 6 febbraio 2007 pag. 989 e seguenti; FU 23/2008 del 18 marzo 2008 pag. 2190 e seguenti; FU 25/2009 del 31 marzo 2009 pag. 2359) e tramite internet dal 2010 (http://www3.ti.ch/DSS/sw/struttura/dss/ias/Informazioni_ periodiche_2010.htm). L’assicurata in presenza di una pubblicazione su un organo ufficiale, rispettivamente nel sito internet dell’autorità competente, non può pertanto far valere di non aver ottenuto quell’informazione generale ed astratta cui aveva diritto in virtù dell’art. 27 cpv. 1 LPGA. Spettava semmai all’interessata, sulla base dell’informazione ottenuta tramite il Foglio Ufficiale o tramite il sito internet, rivolgersi alla Cassa per ottenere maggiori ragguagli circa il suo obbligo assicurativo, rispettivamente circa l’esonero dall’affiliazione in Svizzera alla LAMal. In secondo luogo va evidenziato che l’insorgente, coniugata, nel marzo 2011, non aveva ancora 62 anni, essendo nata il 25 ottobre 1949 e sul permesso “B” del 16 settembre 2010 (doc. B), dunque antecedente alla richiesta di iscrizione del 17 marzo 2011 (doc. A e seguenti), figurava “ attività lavorativa autorizzata ”. L’assicuratore in assenza di informazioni più precise fornite dalla medesima ricorrente non poteva pertanto immaginare che l’interessata beneficiasse (unicamente) di una pensione italiana e potesse di conseguenza eventualmente essere esonerata dall’obbligo assicurativo in Svizzera ai sensi dell’art. 2 cpv. 1 lett. e OAMal per il quale non sono soggetti all’obbligo d’assicurazione le persone che non hanno diritto a una rendita svizzera ma hanno diritto a una rendita di uno Stato membro dell’Unione europea in virtù dell’Accordo sulla libera circolazione delle persone e del relativo allegato II o a una rendita islandese o norvegese in virtù dell’Accordo AELS, del relativo allegato K e dell’appendice 2 dell’allegato K. La carta d’identità dove figura  quale professione “pensionata” (doc. A6) non risulta essere stata consegnata all’assicuratore (cfr. incarto assicuratore). Del resto, rilevato l’alto numero di persone che esce ed entra dalla Svizzera ogni anno, non può essere richiesto all’assicuratore, in assenza di una domanda di informazioni specifica circa l’obbligo assicurativo nel nostro Paese, che per un cittadino qui residente, venga puntualmente verificata ogni ipotesi di esonero. Va infine evidenziato che Eugster, in SBVR, Soziale Sicherheit, 3a edizione 2016, Krankenversicherung, pag. 810, n. 1364, con riferimento tuttavia ad una fattispecie diversa (sentenza K 149/05 del 3 maggio 2006, in cui all’assicurato era stato chiesto, retroattivamente, di pagare la differenza tra il premio dovuto in virtù del nuovo domicilio [Canton Ginevra] e quello pagato secondo la tariffa del vecchio domicilio [Canton Berna] e che non aveva informato l’assicuratore del trasloco) sostiene che l’inattività dell’assicuratore in presenza di una situazione illegale solo eccezionalmente motiva la protezione della buona fede: l’assicuratore deve essere stato reso attento circa la violazione della legge ed averla tollerata (“ […] Untätigkeit des Versicherers angesichts einer gesetzwidrigen Lage begründet nur ausnahmsweise Vertrauensschutz; er muss auf die Gesetzwidrigkeit aufmerksam gemacht worden sein und diese anschliessend geduldet haben [EVG K 149/05 E. 6;…] ”). In concreto, alla luce di tutto quanto sopra esposto, l’assicurata non può essere tutelata nella sua buona fede e l’art. 27 LPGA non trova di conseguenza applicazione.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