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36.2016.82 vom 27. Oktober 2016</w:t>
      </w:r>
    </w:p>
    <w:p>
      <w:r>
        <w:t>TI Tribunale d'appello, 2016-10-27, IT</w:t>
      </w:r>
    </w:p>
    <w:p>
      <w:r>
        <w:rPr>
          <w:b/>
        </w:rPr>
        <w:t xml:space="preserve">Quelle: </w:t>
      </w:r>
      <w:r>
        <w:t>https://mcp.opencaselaw.ch/entscheid/ti_gerichte_36.2016.82</w:t>
      </w:r>
    </w:p>
    <w:p>
      <w:r>
        <w:t>FR: TI_GERICHTE 36.2016.82 du 27 octobre 2016</w:t>
      </w:r>
    </w:p>
    <w:p>
      <w:r>
        <w:t>IT: TI_GERICHTE 36.2016.82 del 27 ottobre 2016</w:t>
      </w:r>
    </w:p>
    <w:p>
      <w:pPr>
        <w:pStyle w:val="Heading2"/>
      </w:pPr>
      <w:r>
        <w:t>Erwägungen</w:t>
      </w:r>
    </w:p>
    <w:p>
      <w:r>
        <w:rPr>
          <w:b/>
        </w:rPr>
        <w:t>E. 23</w:t>
      </w:r>
    </w:p>
    <w:p>
      <w:r>
        <w:t>della legge cantonale di applicazione della LAMal (LCAMal) prevede che il Cantone accorda le riduzioni dei premi nellassicurazione obbligatoria delle cure medico-sanitarie secondo le disposizioni che seguono.</w:t>
      </w:r>
    </w:p>
    <w:p>
      <w:r>
        <w:t>Secondo lart. 24 cpv. 1 LCAMal il diritto alla riduzione dei premi per le categorie di assicurati definite dalla LAMal è stabilito dalla LCAMal stessa.</w:t>
      </w:r>
    </w:p>
    <w:p>
      <w:r>
        <w:t>A norma dellart. 25 cpv. 1 LCAMal la riduzione dei premi è corrisposta tramite presentazione di unistanza scritta. Sono riservati gli art. 42 cpv. 1 e 43 cpv. 1.</w:t>
      </w:r>
    </w:p>
    <w:p>
      <w:r>
        <w:t>Secondo lart. 25 cpv. 2 LCAMal per gli assicurati tassati in via ordinaria, se listanza è presentata entro la fine dellanno che precede lanno di competenza la riduzione dei premi inizia a decorrere dal 1° gennaio dellanno di competenza.</w:t>
      </w:r>
    </w:p>
    <w:p>
      <w:r>
        <w:t>Per lart. 25 cpv. 3 LCAMal se listanza è presentata dopo il termine di cui al cpv. 2, ma nellanno di competenza, il diritto alla riduzione dei premi per gli assicurati tassati in via ordinaria è dato solo a partire dal mese seguente la presentazione.</w:t>
      </w:r>
    </w:p>
    <w:p>
      <w:r>
        <w:t>Ai sensi dellart. 25 cpv. 4 LCAMal il regolamento determina le modalità di presentazione dellistanza e il contenuto della stessa.</w:t>
      </w:r>
    </w:p>
    <w:p>
      <w:r>
        <w:t>Lart. 8 cpv. 1 del Regolamento della legge di applicazione della legge federale sullassicurazione malattie del 29 maggio 2012 (RLCAMal), prevede che listanza di riduzione di premio o di rinnovo devono essere presentate alla Cassa cantonale di compensazione AVS/AI/IPG da un membro maggiorenne dellunità di riferimento mediante lapposito modulo ufficiale.</w:t>
      </w:r>
    </w:p>
    <w:p>
      <w:r>
        <w:t>Lart. 8 cpv. 2 RLCAMal prevede che il modulo ufficiale, che è recapitato ai potenziali beneficiari dalla Cassa cantonale di compensazione AVS/AI/IPG o può essere richiesto alla medesima ma da un membro maggiorenne dellunità di riferimento, deve essere debitamente compilato e corredato dei giustificativi richiesti.</w:t>
      </w:r>
    </w:p>
    <w:p>
      <w:r>
        <w:t>A norma dellart. 8 cpv. 3 RLCAMal per ogni unità di riferimento deve essere presentata ununica istanza di riduzione di premio o di rinnovo.</w:t>
      </w:r>
    </w:p>
    <w:p>
      <w:r>
        <w:t>Va ancora evidenziato che per lart. 48 cpv. 1 LCAMal listanza di riduzione retroattiva deve indicare i motivi dellimpedimento ad agire nei termini stabiliti dalla legge o dal regolamento. Per lart. 48 cpv. 2 LCAMal essa è accolta solo se suffragata da motivi fondati.</w:t>
      </w:r>
    </w:p>
    <w:p>
      <w:r>
        <w:t>2.3.   In concreto lassicurato non ha comprovato di aver trasmesso il 18 luglio 2014, alla Cassa cantonale di compensazione, il formulario di medesima data di richiesta di sussidio per il pagamento del premio dellassicurazione delle cure medico-sanitarie per il 2014 come da lui sostenuto. Il modulo è pervenuto alla Cassa solo il 13 agosto 2015, unitamente allo scritto di sollecito dell11 agosto 2015 (doc. 5 e 6).</w:t>
      </w:r>
    </w:p>
    <w:p>
      <w:r>
        <w:t>2.4.   Giova qui rammentare che la procedura dinanzi al Tribunale delle assicurazioni sociali è retta dalprincipio inquisitorio. IlTribunale accerta d'ufficio, con la collaborazione delle parti, i fatti rilevanti per il giudizio, assume le prove necessarie e le apprezza liberamente ed il giudice ha facoltà di ricorrere a mezzi probatori non indicati dalle parti o di rinunciare all'assunzione di mezzi probatori che le parti hanno notificato (cfr.STFA U 94/01 del 5 settembre 2001; STFA I 83/01 del 31 maggio 2001; STFA U 429/00 del 13 marzo 2001; Untersuchungsgrundsatz, SVR 1995 AHV Nr. 57 pag. 164 consid. 5a; AHI Praxis 1994 pag. 212; DTF 125 V 195 consid. 2 con riferimenti). È dunque compito del giudice chiarire d'ufficio in modo corretto e completo i fatti giuridicamente rilevanti.</w:t>
      </w:r>
    </w:p>
    <w:p>
      <w:r>
        <w:t>Questo principio non è tuttavia incondizionato, ma trova il suo correlato nell'obbligo delle parti di collaborare(DTF 125 V 195 consid.2 con riferimenti; RAMI 1994 pag. 211; AHI Praxis pag. 212; DLA 1992 pag. 113;Meyer, Die Rechtspflege in der Sozialversicherung, in: Basler Juristische Mitteilungen (BJM) 1989 pag. 12;Spira, Le contentieux des assurances sociales fédérales et la procédure cantonale, in: Recueil de jurisprudence Neuchâteloise (RJN) 1984 pag. 16;Kurmann, Verwaltungsverfahren und Verwaltungsrechtspflege in erster Instanz, in: Luzerner Rechtsseminar 1986, Sozialversicherungsrecht, Referat XII, pagg. 5 segg.).Questo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113;Beatiin: Relazioni tra diritto civile e assicurazioni sociali, Lugano 1993, pag. 1 seg).</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prova.L'art. 8 CC prevede infatti che, ove la legge non disponga altrimenti, chi vuol dedurre il suo diritto da una circostanza di fatto da lui asserita deve fornirne la prova.</w:t>
      </w:r>
    </w:p>
    <w:p>
      <w:r>
        <w:t>Ora,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della tempestività dell'esercizio di un diritto soggetto a termine e a perenzione. In questi casi infatti la prova della verosimiglianza preponderante non basta. La tempestività dell'atto o della dichiarazione deve essere determinata con certezza (sentenza9C_211/2010 del 18 febbraio 2011, consid. 3.3;DTF 119 V 7 consid. 3c/bb pag. 10; DLA 2000 n. 25 pag. 118 [C 294/99] consid. 2a; cfr. pure DTF 121 V 204 consid. 6b; 120 V 33 consid. 3c pag. 37).</w:t>
      </w:r>
    </w:p>
    <w:p>
      <w:r>
        <w:t>2.5.   Nel caso di specie, in assenza della prova della notifica, nel corso del 2014, del formulario della riduzione del premio, che linsorgente afferma aver trasmesso per posta A, ma che la Cassa, malgrado le ricerche messe in atto (doc. 11 e 13), non ha trovato, la richiesta inoltrata nel corso del mese di agosto 2015 va considerata tardiva in applicazione dellart. 25 cpv. 2 e 3 LCAMal (cfr. consid. 2.2).</w:t>
      </w:r>
    </w:p>
    <w:p>
      <w:r>
        <w:t>La circostanza che il 26 agosto 2014 vi è stato uno scambio di e-mail tra le parti, conclusasi con la frase La informo cheho già inoltrato la richiesta (2014) completa della documentazione richesta(recte: richiesta)(doc. 3) non modifica lesito della procedura, neppure alla luce del consid. 4.6 della recente sentenza pubblicata in DTF 142 V 152.</w:t>
      </w:r>
    </w:p>
    <w:p>
      <w:r>
        <w:t>Nella citata pronunzia il Tribunale federale ha stabilito che unopposizione presentata per e-mail contro una decisione di un assicuratore contro gli infortuni non è valida, difettando la possibilità di apporre la firma autografa come previsto dalla forma scritta stabilita dallart. 10 cpv. 4 prima frase OPGA (consid. 2.4 e 4.6). In questo caso non cè alcun diritto a un termine suppletorio (consid. 4.5 e 4.6).</w:t>
      </w:r>
    </w:p>
    <w:p>
      <w:r>
        <w:t>Una correzione del vizio di forma può essere effettuata entro il termine di ricorso, facoltà di cui la persona assicurata deve essere eventualmente resa attenta (consid. 4.6). Il TF ha stabilito che, nella misura in cui unopposizione viene inoltrata tramite e-mail prima dello scadere del termine, di regola, e tranne eccezioni descritte nella sentenza, lamministrazione è tenuta a rendere attento lassicurato del vizio di forma e della possibilità di sanarlo entro lo scadere del termine (consid. 4.6:[] Möglich bleibt eine Verbesserung des Formfehlers vor Ablauf der Einsprachefrist, worauf die zuständige Behörde den Einsprecher gegebenfalls aufmerksam machen muss). LAlta Corte ha citato a questo proposito la sentenza 1P.254/2005 del 30 agosto 2005 dove lopposizione ad un decreto daccusa era stata inoltrata tramite e-mail. LAlta Corte, ritenuto che lautorità penale non aveva reso attenta la persona interessata del vizio di forma, sanabile entro la fine del termine di opposizione, in applicazione dellart. 29 cpv. 1 Cost. fed., per il quale in procedimenti innanzi ad autorità giudiziarie o amministrative, ognuno ha diritto alla parità ed equità di trattamento, nonché ad essere giudicato entro un termine ragionevole, ha ripristinato il termine di opposizione ancora rimanente al fine di sanare il vizio procedurale (sentenza 1P.254/2005, consid. 4.7 in fine: []Das Interesse des Beschwerdeführers an einem fairen Verfahren (Art. 29 Abs. 1 BV) überwiegt unter den vorliegenden Umständen das öffentliche Interesse an der strikten Einhaltung der gesetzlichen Formvorschriften. Dies rechtfertigt es, die Rechtslage so zu beurteilen, wie wenn erwiesen wäre, dass das Verhöramt die elektronische Eingabe erhielt.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w:t>
      </w:r>
    </w:p>
    <w:p>
      <w:r>
        <w:t>Al consid. 4.7 lAlta Corte ha indicato i motivi per cui nel caso giudicato non era necessario avvertire linteressato del vizio di forma, benché il termine di opposizione non fosse spirato, e meglio la circostanza che il medesimo ricorrente aveva affermato chedas Original auf dem Postweg unterwegs, sei (consid. 4.7). Alla luce delle parole utilizzate dalla persona interessata, lamministrazione poteva ritenere che lassenza della firma sullopposizione trasmessa via e-mail sarebbe stata sanata tramite la documentazione inviata con la posta.</w:t>
      </w:r>
    </w:p>
    <w:p>
      <w:r>
        <w:t>Con sentenza 8C_346/2016 del 13 luglio 2016 lAlta Corte ha ribadito che in ogni caso atti di causa (reclami, ricorsi, ecc.) inviati per fax (come per semplice e-mail) [] non esplicano alcun effetto giuridico sotto il profilo della decorrenza dei termini e non salvaguardano la tempestività ad agire [].</w:t>
      </w:r>
    </w:p>
    <w:p>
      <w:r>
        <w:t>Nel caso di specie, rammentato che anche la LCAMal prevede la forma scritta per linoltro dellistanza di riduzione dei premi (art. 25 cpv. 1 LCAMal), una comunicazione via e-mail non è atta ad interrompere o a salvaguardare il termine per lottenimento del sussidio (cfr. DTF 142 V 152, consid. 2.4).</w:t>
      </w:r>
    </w:p>
    <w:p>
      <w:r>
        <w:t>Per il resto, il caso è diverso rispetto alla fattispecie di cui alla DTF 142 V 152. Il termine di cui allart. 25 cpv. 2 e 3 LCAMal non è un termine per opporsi ad una decisione dellamministrazione, bensì per far valere un proprio diritto ad una prestazione. Inoltre la Cassa, con le-mail delle ore 10:51, aveva informato il rappresentante dellinsorgente che gli avrebbe trasmesso nuovamente il formulario per inoltrarela richiesta di riduzione di premio LAMal per lanno 2014 e per lanno 2015 nel corso dei prossimi giorni (doc. 3). Spettava pertanto allassicurato, che sostiene di aver spedito in data 18 luglio 2014 il modulo per la richiesta di sussidio 2014 (cfr. ricorso, doc. I), visto il tempo trascorso (oltre un mese), accertarsi del motivo per il quale lamministrazione aveva intenzione di trasmettergli un nuovo formulario e chiedere una verifica circa la ricezione della sua domanda, trasmessa per posta A. Linteressato ha invece avuto unattitudine passiva, limitandosi ad affermare, alle ore 11:53, di aver già spedito la domanda, senza tuttavia indicare in quale data e sollecitandone levasione solo un anno dopo, con lettera dell11 agosto 2015 (doc. 4).</w:t>
      </w:r>
    </w:p>
    <w:p>
      <w:r>
        <w:t>In queste condizioni, non avendo il ricorrente comprovato di aver inoltrato tempestivamente il formulario per la richiesta del sussidio 2014 (art. 25 LCAMal) e non essendoci motivi giustificativi per linoltro tardivo della richiesta (cfr. art. 48 LCAMal),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