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36.2016.26 vom 4. Mai 2016</w:t>
      </w:r>
    </w:p>
    <w:p>
      <w:r>
        <w:t>TI Tribunale d'appello, 2016-05-04, IT</w:t>
      </w:r>
    </w:p>
    <w:p>
      <w:r>
        <w:rPr>
          <w:b/>
        </w:rPr>
        <w:t xml:space="preserve">Quelle: </w:t>
      </w:r>
      <w:r>
        <w:t>https://mcp.opencaselaw.ch/entscheid/ti_gerichte_36.2016.26_d20160504</w:t>
      </w:r>
    </w:p>
    <w:p>
      <w:r>
        <w:t>FR: TI_GERICHTE 36.2016.26 du 4 mai 2016</w:t>
      </w:r>
    </w:p>
    <w:p>
      <w:r>
        <w:t>IT: TI_GERICHTE 36.2016.26 del 4 maggio 2016</w:t>
      </w:r>
    </w:p>
    <w:p>
      <w:pPr>
        <w:pStyle w:val="Heading2"/>
      </w:pPr>
      <w:r>
        <w:t>Regeste</w:t>
      </w:r>
    </w:p>
    <w:p>
      <w:r>
        <w:t>Riduzione del premio dell'assicurazione malattie. Convivenza</w:t>
      </w:r>
    </w:p>
    <w:p>
      <w:pPr>
        <w:pStyle w:val="Heading2"/>
      </w:pPr>
      <w:r>
        <w:t>Erwägungen</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ritenuto il cumulo dei redditi in queste circostanze in contrasto con senso e scopo dell’art. 65 cpv. 1 LAMal. 2.19.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inserendo un nuovo art. 10a secondo cui: " La convivenza è considerata stabile se, alternativamente: a)   vi sono figli in comune; b)   la convivenza procura gli stessi vantaggi di un matrimonio; c)   la convivenza dura da almeno 6 mesi." con ripresa dei concetti già contenuti nel RLaps. 2.20.   Nel caso in esame la ricorrente e il signor RI 1 convivono da ben più di 6 mesi, senza figli in comune tra loro ma condividendo l’alloggio (immobile che appartiene in ragione di ½ ciascuno ai conviventi) con i figli di primo letto della ricorrente. In sede di udienza, così come già in sede di ricorso, RI 1 ha riconosciuto, tramite il suo rappresentante, la sua convivenza stabile con il signor RI 1, fondata su un sentimento profondo e intenso. I conviventi sono attivi professionalmente e concorrono a fronteggiare le spese, essi sono proprietari in ragione di ½ della casa in cui vivono. 2.21.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condivisi da questo Tribunale cantonale delle assicurazioni nell’ambito della riduzione dei premi dell’assicurazione malattie, nelle STCA 36.2014.78 del 2 febbraio 2015, consid. 2.20, 36.2015.29 del 13 agosto 2015 e nella STCA 36.2015.85 del 22 febbraio 2016, e sono assolutamente attuali per cui devono essere confermati. I concetti della Laps vanno applicati per il rinvio dell’art. 26 LCAMal, per l’identità dei testi ritenuti (art. 26 LCAMal e 4 Laps e per l'art. 2a Laps) e per lo scopo stesso cui tende la legge sull’armonizzazione e il coordinamento delle prestazioni sociali. Sarebbe scioccante applicare, all’ambito della riduzione dei premi dell’assicurazione malattie coordinata dalla Laps, un concetto di convivenza stabile diverso. Condividere la propria esistenza, gli affetti, in una relazione intensa rapportabile a quella coniugale, impone, a livello di RIPAM, come per l’applicazione della Laps, di considerare l’unità di riferimento composta dai conviventi stabili. In concreto la ricorrente e il signor ____________ non negano di condividere la loro esistenza da anni, di aiutarsi, sostenersi e di collaborare tra loro. Questa convivenza, duratura, profonda e radicata, adempie pienamente i requisiti dell’art. 26 cpv. 4 LCAMal e dell’art. 10a lett. c) RLCAMal. La condizione legale della convivenza è comprovata ed è conforme alla giurisprudenza federale. 2.22.   Va ancora aggiunto che, a livello di RIPAM i conviventi non sono trattati come avviene invece a livello del diritto fiscale, non traendo la coppia – in questo ambito – i vantaggi della coppia coniugata quo a deduzioni ed aliquote. I redditi, in ottica RIPAM, sono infatti cumulati mentre in ottica fiscale ciò non avviene, ma non vengono neppure ritenute specifiche deduzioni per determinare l'imponibile così come non è applicata l'aliquota per coniugi. Come giudicato nella STCA 36.2014.78 del 2 febbraio 2015, consid. 2.21, quest’obiezione non può essere ritenuta. La diversa valutazione della convivenza stabile in ambito RIPAM ed in quello fiscale è frutto di una deliberata scelta del legislatore, chiaramente espressa nei lavori parlamentari citati nelle considerazioni che precedono. Due conviventi, a livello fiscale (dove la legislazione cantonale è condizionata da quella federale), sono considerati persone con partita fiscale distinta, i coniugi invece sono considerati in una unica partita fiscale. Questa circostanza però non basta per ritenere il diritto cantonale in ambito di RIPAM, in cui il cantone gode di grande autonomia (come rilevato in precedenza), non conforme al diritto federale in generale rispettivamente al dettato dell’art. 65 LAMal, al cui senso e spirito le norme ticinesi devono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settori, la convivenza stabile senza che possa essere ritenuta una disparità di trattamento ai sensi dell’art. 8 Cost. fed. Su questi aspetti si veda Pascal Mahon , Droit constitutionnel. Droits fondamentaux. 3 ed. Helbing &amp; Lichtenhahn e Faculté de droit Université de Nauchâtel, 2014 n. 143 e 144, p. 237 e seg. Ne discende che, per la determinazione del diritto alla RIPAM della ricorrente, e dei suoi figli, vanno ritenuti i redditi conseguiti dalla coppia. In altri termini i due conviventi vanno considerati appartenenti ad un’unica UR. 2.23.   La ricorrente, in particolare in sede di ricorso e nel corso dell’udienza, ha rilevato come, considerando in concreto – come fa la Cassa - un’unica UR composta da lei stessa, dai suoi figli e dal suo convivente, induce sostanzialmente a computare i figli (suoi) nell’ambito economico del suo convivente signor __________, che non è padre di __________ e __________, e non ha nei loro confronti obblighi alimentari di sorta. In altre parole RI 1 lamenta il fatto che le norme applicate dalla Cassa cantonale impongono al signor __________ implicitamente di pagare il premio anche di __________ e __________ imponendogli così un obbligo di mantenimento non previsto dal diritto civile. L'argomento, già affrontato e evaso da questo Tribunale nelle STCA 36.2015.29 e 36.2015.85 più volte citate in precedenza, non è di pregio. Il mantenimento di __________ (sin a quando era in formazione) e di __________ incombe ai loro genitori, ossia al padre e alla madre e non certo al convivente di quest'ultima __________. Le norme della LCAMal, in tema di RIPAM, e specificatamente riferite alla composizione dell’UR, non creano certamente obblighi alimentari di natura civile al convivente. Come rilevato nelle considerazioni precedenti, l’unità di riferimento è composta dalla cerchia di assicurati da considerare per il calcolo della riduzione dei premi e, di regola, essa è costituita dall’unità riconosciuta ai sensi del diritto fiscale. Per il diritto fiscale, espressamente richiamato dall’art. 26 cpv. 2 LCAMal, la ricorrente e i suoi figli, che con lei convivono e a lei sono stati affidati (sino al momento in cui sono personalmente imponibili), costituiscono un’unità riconosciuta anche a livello fiscale. Non solo: la mamma (__________) detrae dai suoi redditi, per i figli a suo carico, le deduzioni sociali riconosciute dal diritto fiscale (a titolo di esempio si veda il doc. VI/4), e dichiara gli alimenti ricevuti per loro. Va poi aggiunto che, quando un figlio è in formazione (e non ha più di 30 anni, non è coniugato, non ha figli suoi a carico e non ha redditi superiori al limite del fabbisogno), torna applicabile l’art. 27 LCAMal, precisato dall’art. 11 RLCAMal, che, in situazioni come quella in discussione, include il figlio nell’unità di riferimento da cui dipende economicamente (qui la madre che riceve gli alimenti e opera le deduzioni sociali per i figli e provvede al loro sostentamento). Nel caso in esame quest’unità di riferimento, come mostrano in particolare i doc. A1 e B1, è stata richiedente esplicita della riduzione dei premi per tutti gli anni in discussione (2013 – 2015), non solo la signora RI 1 quindi ma lei e i suoi figli insieme (la rappresentanza dell’UR avviene tramite un membro maggiorenne della stessa; art. 8 cpv. 1 RLCAMal) hanno postulato la RIPAM per gli anni qui in discussione. In questa UR, composta per gli anni 2013 e 2014 dalla ricorrente e entrambe i figli mentre per il 2015 dalla ricorrente e il figlio __________, deve essere inserito anche il convivente della ricorrente signor __________ per l’applicazione dell’art. 26 cpv. 4 LCAMal secondo cui, come visto in precedenza, i partners conviventi, se la convivenza è ritenuta stabile, sono considerati come componenti della medesima unità di riferimento. L’unica possibile interpretazione di questa norma (art. 26 LCAMal) è quella della somma dei membri che vanno a formare l’UR in caso di esistenza di più situazioni contemplate nel suo disciplinamento. In altri termini all’UR composta dai membri contemplati dal diritto fiscale nella medesima tassazione, vanno aggiunti (se presenti) i membri maggiorenni in formazione così come prevede l’art. 27 LCAMal (questi giovani, se adempiute le condizioni poste dalla norma ed elencate in precedenza, sono inclusi nell’unità di riferimento da cui dipendono economicamente) ed ancora i partners conviventi se date le condizioni di una convivenza stabile. Queste norme, considerando gli effetti della convivenza duratura e stabile che fonda una solidarietà tra i conviventi, tendono ad evitare che lo Stato debba erogare aiuti sociali ad assicurati viventi in condizioni sostanzialmente agiate, pur con mezzi propri limitati, grazie alla convivenza. Nell'ambito di una convivenza stabile, come quella in discussione, ai fini della RIPAM vanno quindi computati i redditi di un convivente che decida di condividere la propria vita con altra persona avente a carico dei figli. La solidarietà derivante dalla convivenza stabile impone, all’interno della coppia, reciproco aiuto ed assistenza. Vero è che tale sforzo si riverbera, almeno in parte, anche in favore dei figli di primo letto della o del concubina/o. In concreto ciò significa che la solidarietà tra i conviventi RI 1 e __________, l’aiuto reciproco che deriva dalla loro unione stabile, permette alla ricorrente di porre in atto gli sforzi necessari (in uno con il padre di __________ e __________) per onorare i premi dell’assicurazione obbligatoria delle cure medico sanitarie dei giovani. Da quanto precede discende che la Cassa ha operato correttamente considerando, in concreto, l’UR composta da RI 1, __________, __________ (per gli anni 2013 e 2014) e __________. 2.24.   Alla luce di quanto precede occorre procedere ora alla verifica del calcolo della RIPAM operato dalla Cassa. Per definire il diritto alla RIPAM della ricorrente bisogna fissare il reddito determinante in maniera semplificata, partendo dai dati contenuti nelle decisioni fiscali. A questo reddito va aggiunto quello conseguito dal convivente e vanno dedotte le spese riconosciute. La ricorrente non ha posto in dubbio i calcoli svolti dalla Cassa cantonale di compensazione AVS AI IPG che sono corretti. Come già evidenziato nella STCA 36.2015.29 in re D. del 13 agosto 2015 gli importi del fabbisogno, fissati in base all’art. 10 Laps, vanno rivalutati secondo il dettato dell’art. 10 cpv. 3 Laps, con attenzione al fatto che l’Ordinanza 09 del Consiglio Federale datata 26 settembre 2008 sugli adeguamenti all’evoluzione dei prezzi e dei salari nell’AVS/AI/IPG prevedeva un incremento del 3,2% rispetto ai valori del biennio precedente mentre l’incremento dell’Ordinanza 11 è stato dell’1.8% (art. 3 cpv. 2). Queste percentuali non sono altro che l’arrotondamento del tasso percentuale tecnico calcolato del 3.1674% e dell’1,7543%. La giurisprudenza ha chiarito, alla luce della comunicazione acquisita presso l’UFAS (lettera 24 luglio 2012 destinata alla Cassa cantonale di compensazione AVS AI IPG, Bellinzona), che “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 delle rendite vecchiaia singole minime (STCA 36.2012.33 del 4 settembre 2012 riassunta in RTiD 2013 I pag. 63 e 64 no. 12 e STCA 36.2012.71 del 21 gennaio 2013 consid. 2.7.). Con Ordinanza 13 del 21 settembre 2012 sugli adeguamenti all’evoluzione dei prezzi e dei salari nell’AVS/AI/IPG il Consiglio Federale ha previsto un incremento (arrotondato) dello 0,9%, che in realtà assomma allo 0,86209, mentre con l’Ordinanza 15 sugli adeguamenti all'evoluzione dei prezzi e dei salari nell'AVS/AI/IPG del 15 ottobre 2014 l’adeguamento è dello 0,4%. Anche in questo caso si tratta di percentuale arrotondata, il calcolo effettivo dell’adeguamento è dello 0,42735%. La Cassa deve rifarsi, in applicazione dell’art. 18 RLCAMal, al limite di fabbisogno minimo ai sensi della Laps corrispondente a quello valido per l’anno precedente all’anno di competenza. Nel caso concreto al 2013 per il sussidio del 2014 rispettivamente al 2012 per il sussidio del 2013 . L’importo considerato dall’amministrazione per l’UR è aggiornato ai valori del biennio 2011 e 2012, ma non ai valori del 2013 e 2014 in applicazione dell’Ordinanza 13 citata. L’amministrazione ha operato correttamente fissando il valore del fabbisogno applicando le norme transitorie della Legge sull’armonizzazione e il coordinamento delle prestazioni sociali che, all’art. 37, prevede, in “ deroga all’art. 10, per gli anni 2013 e 2014…  i limiti previsti dalla legge per gli anni 2011 e 2012 ”. La norma in questione è stata approvata dal Parlamento mediante legge del 20 dicembre 2012 in vigore dal 15 febbraio 2013 (BU 2013 p. 94). 2.25.   Nel caso in esame , per gli anni 2013 e 2014, la Cassa cantonale di compensazione AVS AI IPG ha cifrato correttamente il fabbisogno dell’UR in causa, composta dalla signora RI 1, dal convivente __________ e dai figli della stessa, __________ __________ (durante il periodo della formazione), in complessivi CHF 44’276.--, importo aggiornato che, come indicato, non è stato contestato dalla ricorrente. Vanno ora verificati i calcoli eseguiti dall’amministrazione. Per l'anno 2013 , dalla tassazione 2010 della ricorrente e da quella del convivente emergono redditi lordi per complessivi CHF 177'929 cui sommare la quota parte di sostanza (CHF 5'638) e dedurre i PMR per complessivi CHF 18'868 (2 premi per adulti 4908 cui si sommano 2 premi per giovani adulti 4'526 secondo il DE ricordato nelle considerazioni del punto 2.16 precedente), le spese professionali e quelle per interessi passivi (in totale CHF 7'000) per un RD di CHF 157'699. La quota di finanziamento è del 13% (in costanza di prole) e il coefficiente di finanziamento per quell’anno era fissato al 70% Applicando la formula di calcolo valida per l'anno 2013 ne viene il seguente diritto alla RIPAM: {18’868 - [(157’699 – 44'276) x 13%] x 70% } = 871,50 2 Questo risultato, suddiviso tra i due giovani adulti beneficiari del sussidio (in conformità all’art. 65 cpv. 1 bis LAMal), conduce ad un sussidio di CHF 435,75 (la Cassa, per via di arrotondamenti eseguito ha calcolato l’importo di CHF 435,60, la differenza non permette comunque una maggiore RIPAM mensile agli interessati siccome la differenza è di 1,25 centesimi di franco per ogni mese). Per quanto attiene invece l’anno 2014 il reddito disponibile calcolato in maniera semplificata è dedotto dalla tassazione del 2011. Il reddito complessivo conseguito è di CHF 170'960 da cui vanno dedotti i PMR (19'489; vedi consid. 2.16.), interessi passivi e spese professionali (CHF 7'000 in totale) e dopo avere sommato la quota parte di sostanza (CHF 4'780) ne viene un reddito disponibile di CHF 149’251. Il calcolo per l’anno 2014,  ritenuto il coefficiente del 70%, è il seguente: {19’489 – [(149’251 – 44’276/2) x 13%] x 70%} = 2’075 L’importo, anche qui, è di pochi centesimi superiore a quello calcolato dall’amministrazione (per via degli arrotondamenti) e non consente comunque (per la differenza di 1,66 centesimi al mese) di riconoscere all’UR una maggiore RIPAM. 2.26.   Il calcolo per l’anno 2015 è diverso per più motivi, da un lato per le modifiche legislative subentrate e descritte nelle considerazioni precedenti cui si rinvia e dall’altro siccome __________ ha terminato la sua formazione ed è stata considerata, correttamente, quale persona sola. I redditi complessivi dell’UR ritenuti dall’amministrazione, e non contestati dalla ricorrente, assommano a CHF 185’263 cui si deve aggiungere una quota di 1/15 della sostanza per CHF 4'808. Da questo importo vanno dedotti i premi medi di riferimento per i 3 componenti l’UR (CHF 14’254), le spese riconosciute (ancora fissate a CHF 7’000) per un reddito disponibile di riferimento cifrato in CHF 168’817. In applicazione dell’art. 32a LCAMal la Cassa cantonale di compensazione AVS AI IPG ha correttamente cifrato il limite massimo del reddito disponibile che consente di riconoscere la riduzione dell’UR rappresentata dalla ricorrente, dal suo convivente e da __________ nel seguente modo: RDM = {3.9 + [1 – (1/10)]} x 50% del limite Laps senza pigione di CHF 35’164 RDM = 84'393.60 Questo importo è nettamente inferiore al RDS calcolato in precedenza ciò che ha per conseguenza che la Cassa ha correttamente rifiutato di riconoscere il diritto alla RIPAM 2015. 2.27.   Da quanto precede si desume che la Cassa cantonale di compensazione AVS AI IPG ha agito correttamente, le decisioni impugnate vanno conseguentemente confermate e l’impugnativa riferita ad ogni anno contestato (RIPAM 2013, 2014 e 2015) respinta. Non si percepiscono tasse e spese e non si attribuiscono ripetibili.</w:t>
      </w:r>
    </w:p>
    <w:p>
      <w:r>
        <w:rPr>
          <w:b/>
        </w:rPr>
        <w:t>E. 2.5</w:t>
      </w:r>
    </w:p>
    <w:p>
      <w:r>
        <w:t>2.5.1.   Per l’art. 49 cpv. 1 LCAMal, nel tenore in vigore dal 1° gennaio 2012 (simile all’art. 59 cpv. 1 LCAMal nel tenore in vigore fino al 31 dicembre 2011), le riduzioni dei premi indebitamente percepite devono essere restituite dal beneficiario all’assicuratore presso il quale egli è affiliato, oppure all’amministrazione cantonale nel caso di pagamenti diretti all’assicurato, o nei casi di perdita della PC AVS/AI. L’art. 49 cpv. 2 LCAMal (il cui tenore è simile all’art. 59 cpv. 2 LCAMal in vigore precedentemente), prevede che alla restituzione ed al condono dell’obbligo di restituzione è applicabile per analogia la legge sulla parte generale del diritto delle assicurazioni sociali (LPGA), del 6 ottobre 2000. 2.5.2.   Per l’art. 25 LPGA le prestazioni indebitamente riscosse devono essere restituite. La restituzione non deve essere chiesta se l’interessato era in buona fede e verrebbe a trovarsi in gravi difficoltà (cpv. 1; cfr. art. 4 OPGA). In virtù dell’art. 25 cpv.</w:t>
      </w:r>
    </w:p>
    <w:p>
      <w:r>
        <w:rPr>
          <w:b/>
        </w:rPr>
        <w:t>E. 3</w:t>
      </w:r>
    </w:p>
    <w:p>
      <w:r>
        <w:t>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Dal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2.12.   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 L'art. 34 LCAMal ribadisce che l'importo massimo normativo dei premi corrisponde alla somma dei premi medi di riferimento per categoria d'assicurato, dell'UR. L'importo normativo della RIPAM, dal 2015 è quindi determinato dalla seguente formulata: [PMR – (PMR x RD 2 )] RDM 2 e dipende dal reddito disponibile massimo (RDM) definito all'art. 32 a LCAMal cui si è accennato nelle considerazioni del punto 2.9. in fine. Le modifiche apportare alle norme a contare dal 2015 hanno reso il sistema molto meno trasparente visto l’uso di formule matematiche complesse. 2.13.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2.14.   L’importo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2.15.   Occorre ora indicare quali fossero i parametri applicabili alla determinazione della riduzione dei premi negli anni qui in esame. Con il Decreto esecutivo concernente le basi di calcolo per l’applicazione delle riduzioni di premio LAMal per l’anno 2013, le stesse sono state definite come segue: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Con Decreto esecutivo 21 maggio 2014 (entrato in vigore retroattivamente) concernente le basi di calcolo per l’applicazione delle riduzioni di premio LAMal per l’anno 2014 il Consiglio di Stato ha fissato i seguenti parametri: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Per l'anno 2015 l'esecutivo cantonale ha fissato i parametri della RIPAM mediante DE dell'11 febbraio 2015, nel seguente modo: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2.16.   Come questo Tribunale cantonale delle Assicurazioni ha fatto nella decisione STCA 36.2015.29 del 13 agosto 2015, prima di esaminare i calcoli eseguiti dall’amministrazione al fine di accertarne l’esattezza, occorre verificare la correttezza del presupposto dal quale la Cassa è partita, comunque non contestato nella sostanza dalla ricorrente, ossia il sussistere di una convivenza stabile. Più avanti occorrerà verificare, una volta ammessa la convivenza stabile tra la ricorrente e il signor ___________, quali effetti questa convivenza abbia sulla composizione dell’UR, in altri termini se, come sostiene la signora RI 1, l’UR debba essere composta unicamente da lei e il convivente, oppure se nella stessa debbano essere compresi i figli minorenni rispettivamente maggiorenni in formazione. 2.17.   L’art. 26 cpv. 4 LCAMal prevede che i partner conviventi, in caso di convivenza stabile, compongano un’UR. Nell’ambito dell’esame della procedura 36.2015.29, questo Tribunale cantonale delle assicurazioni ha dovuto esaminare la possibilità per il legislatore di legiferare in materia di convivenza e meglio la possibilità di ritenere una convivenza fondante un’unità di riferimento con implicazioni sul diritto alla riduzione dei premi. In quella fattispecie la ricorrente riteneva implicitamente contrario al principio di uguaglianza giuridica dell’art. 8 cpv. 2 Cost. fed., trattare in maniera uguale situazioni diverse quali rapporto coniugale e convivenza e ciò particolarmente in ambito di RIPAM. 2.18.   Nel suo giudizio 13 agosto 2015 (ripreso ancora nella STCA 36.2015.85 del 22 febbraio 2016) questo Tribunale cantonale delle assicurazioni ha evidenziato come, prima ancora della vigenza della nuova legge ticinese e della sua norma di regolamento per cui in caso di convivenza stabile i redditi dei conviventi sono cumulati siccome i conviventi compongono un’UR (art. 26 cpv. 4 LCAMal e 10a RLCAMal), la giurisprudenza federale si era già occupata (come evocato anche nella STCA 36.2014.78 del 2 febbraio 2015),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w:t>
      </w:r>
    </w:p>
    <w:p>
      <w:r>
        <w:rPr>
          <w:b/>
        </w:rPr>
        <w:t>E. 3.1</w:t>
      </w:r>
    </w:p>
    <w:p>
      <w:r>
        <w:t>p. 28; ATF 133 V 402 consid. 3.2 p. 404 s.; ATF 132 I 117 consid. 4.2 p. 121; ATF 132 II 371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